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CA" w:rsidRPr="00A71B4C" w:rsidRDefault="00671ECA" w:rsidP="00E17912">
      <w:pPr>
        <w:spacing w:line="360" w:lineRule="auto"/>
        <w:rPr>
          <w:rFonts w:ascii="Arial" w:hAnsi="Arial" w:cs="Arial"/>
        </w:rPr>
      </w:pPr>
    </w:p>
    <w:p w:rsidR="00DD0922" w:rsidRPr="00A71B4C" w:rsidRDefault="00DD0922" w:rsidP="00E17912">
      <w:pPr>
        <w:spacing w:line="360" w:lineRule="auto"/>
        <w:rPr>
          <w:rFonts w:ascii="Arial" w:hAnsi="Arial" w:cs="Arial"/>
        </w:rPr>
      </w:pPr>
    </w:p>
    <w:p w:rsidR="00DD0922" w:rsidRPr="00A71B4C" w:rsidRDefault="00DD0922" w:rsidP="00E17912">
      <w:pPr>
        <w:spacing w:line="360" w:lineRule="auto"/>
        <w:rPr>
          <w:rFonts w:ascii="Arial" w:hAnsi="Arial" w:cs="Arial"/>
        </w:rPr>
      </w:pPr>
    </w:p>
    <w:p w:rsidR="00DD0922" w:rsidRPr="00A71B4C" w:rsidRDefault="00DD0922" w:rsidP="00E17912">
      <w:pPr>
        <w:spacing w:line="360" w:lineRule="auto"/>
        <w:rPr>
          <w:rFonts w:ascii="Arial" w:hAnsi="Arial" w:cs="Arial"/>
        </w:rPr>
      </w:pPr>
    </w:p>
    <w:p w:rsidR="00724E52" w:rsidRDefault="00724E52" w:rsidP="008217F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6895131"/>
      <w:r w:rsidRPr="00724E52">
        <w:rPr>
          <w:rFonts w:ascii="Arial" w:hAnsi="Arial" w:cs="Arial"/>
          <w:b/>
          <w:bCs/>
          <w:sz w:val="24"/>
          <w:szCs w:val="24"/>
        </w:rPr>
        <w:t xml:space="preserve">CONCURSO DE PRECIOS A SOBRE CERRADO </w:t>
      </w:r>
    </w:p>
    <w:p w:rsidR="008217FE" w:rsidRPr="005F7F9B" w:rsidRDefault="005D48AD" w:rsidP="008217F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F7F9B">
        <w:rPr>
          <w:rFonts w:ascii="Arial" w:hAnsi="Arial" w:cs="Arial"/>
          <w:b/>
          <w:sz w:val="24"/>
          <w:szCs w:val="24"/>
        </w:rPr>
        <w:t>N</w:t>
      </w:r>
      <w:r w:rsidR="008217FE" w:rsidRPr="005F7F9B">
        <w:rPr>
          <w:rFonts w:ascii="Arial" w:hAnsi="Arial" w:cs="Arial"/>
          <w:b/>
          <w:sz w:val="24"/>
          <w:szCs w:val="24"/>
        </w:rPr>
        <w:t>º</w:t>
      </w:r>
      <w:r w:rsidR="0048051B" w:rsidRPr="005F7F9B">
        <w:rPr>
          <w:rFonts w:ascii="Arial" w:hAnsi="Arial" w:cs="Arial"/>
          <w:b/>
          <w:sz w:val="24"/>
          <w:szCs w:val="24"/>
          <w:lang w:val="es-AR"/>
        </w:rPr>
        <w:t xml:space="preserve">1 </w:t>
      </w:r>
      <w:r w:rsidR="006B3E94">
        <w:rPr>
          <w:rFonts w:ascii="Arial" w:hAnsi="Arial" w:cs="Arial"/>
          <w:b/>
          <w:sz w:val="24"/>
          <w:szCs w:val="24"/>
          <w:lang w:val="es-AR"/>
        </w:rPr>
        <w:t>RED RIESaS/2024</w:t>
      </w:r>
    </w:p>
    <w:bookmarkEnd w:id="0"/>
    <w:p w:rsidR="00DD0922" w:rsidRPr="00A71B4C" w:rsidRDefault="00DD0922" w:rsidP="008217FE">
      <w:pPr>
        <w:spacing w:line="360" w:lineRule="auto"/>
        <w:jc w:val="center"/>
        <w:rPr>
          <w:rFonts w:ascii="Arial" w:hAnsi="Arial" w:cs="Arial"/>
        </w:rPr>
      </w:pPr>
    </w:p>
    <w:p w:rsidR="008217FE" w:rsidRPr="00A71B4C" w:rsidRDefault="00DD0922" w:rsidP="008217F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71B4C">
        <w:rPr>
          <w:rFonts w:ascii="Arial" w:hAnsi="Arial" w:cs="Arial"/>
          <w:sz w:val="40"/>
          <w:szCs w:val="40"/>
        </w:rPr>
        <w:t>PLIEGO DE CONDICIONES</w:t>
      </w:r>
      <w:r w:rsidR="00987D41" w:rsidRPr="00A71B4C">
        <w:rPr>
          <w:rFonts w:ascii="Arial" w:hAnsi="Arial" w:cs="Arial"/>
          <w:sz w:val="40"/>
          <w:szCs w:val="40"/>
        </w:rPr>
        <w:t xml:space="preserve"> GENERALES</w:t>
      </w:r>
      <w:r w:rsidR="00817C37">
        <w:rPr>
          <w:rFonts w:ascii="Arial" w:hAnsi="Arial" w:cs="Arial"/>
          <w:sz w:val="40"/>
          <w:szCs w:val="40"/>
        </w:rPr>
        <w:t xml:space="preserve"> </w:t>
      </w:r>
      <w:r w:rsidR="008217FE" w:rsidRPr="00A71B4C">
        <w:rPr>
          <w:rFonts w:ascii="Arial" w:hAnsi="Arial" w:cs="Arial"/>
          <w:sz w:val="40"/>
          <w:szCs w:val="40"/>
        </w:rPr>
        <w:t>PARA LA CONTRATACIÓN DE BIENES y/o SERVICIOS CONEXOS</w:t>
      </w:r>
    </w:p>
    <w:p w:rsidR="00DD0922" w:rsidRPr="00A71B4C" w:rsidRDefault="00DD0922" w:rsidP="00DD0922">
      <w:pPr>
        <w:spacing w:line="360" w:lineRule="auto"/>
        <w:jc w:val="both"/>
        <w:rPr>
          <w:rFonts w:ascii="Arial" w:hAnsi="Arial" w:cs="Arial"/>
        </w:rPr>
      </w:pPr>
    </w:p>
    <w:p w:rsidR="00DD0922" w:rsidRPr="00A71B4C" w:rsidRDefault="00DD0922" w:rsidP="00DD0922">
      <w:pPr>
        <w:spacing w:line="360" w:lineRule="auto"/>
        <w:jc w:val="both"/>
        <w:rPr>
          <w:rFonts w:ascii="Arial" w:hAnsi="Arial" w:cs="Arial"/>
        </w:rPr>
      </w:pPr>
    </w:p>
    <w:p w:rsidR="00DD0922" w:rsidRPr="00A71B4C" w:rsidRDefault="00DD0922" w:rsidP="00DD0922">
      <w:pPr>
        <w:spacing w:line="360" w:lineRule="auto"/>
        <w:jc w:val="both"/>
        <w:rPr>
          <w:rFonts w:ascii="Arial" w:hAnsi="Arial" w:cs="Arial"/>
        </w:rPr>
      </w:pPr>
    </w:p>
    <w:p w:rsidR="00DD0922" w:rsidRPr="00A71B4C" w:rsidRDefault="00DD0922" w:rsidP="00DD0922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FECHA DE APERTURA:</w:t>
      </w:r>
      <w:r w:rsidR="006B3E94" w:rsidRPr="006B3E94">
        <w:rPr>
          <w:rFonts w:ascii="Arial" w:eastAsia="Arial" w:hAnsi="Arial" w:cs="Arial"/>
          <w:szCs w:val="24"/>
        </w:rPr>
        <w:t xml:space="preserve"> </w:t>
      </w:r>
      <w:r w:rsidR="00F843F1">
        <w:rPr>
          <w:rFonts w:ascii="Arial" w:eastAsia="Arial" w:hAnsi="Arial" w:cs="Arial"/>
          <w:szCs w:val="24"/>
        </w:rPr>
        <w:t>28/02/2023</w:t>
      </w:r>
      <w:r w:rsidR="00F86413">
        <w:rPr>
          <w:rFonts w:ascii="Arial" w:eastAsia="Arial" w:hAnsi="Arial" w:cs="Arial"/>
          <w:szCs w:val="24"/>
        </w:rPr>
        <w:t xml:space="preserve"> 10 HS.</w:t>
      </w:r>
    </w:p>
    <w:p w:rsidR="00BD3A06" w:rsidRPr="00F843F1" w:rsidRDefault="00DD0922" w:rsidP="006C4510">
      <w:pPr>
        <w:tabs>
          <w:tab w:val="center" w:pos="4512"/>
        </w:tabs>
        <w:spacing w:line="360" w:lineRule="auto"/>
        <w:ind w:left="4512" w:hanging="4512"/>
        <w:rPr>
          <w:rFonts w:ascii="Arial" w:hAnsi="Arial" w:cs="Arial"/>
        </w:rPr>
      </w:pPr>
      <w:r w:rsidRPr="00F843F1">
        <w:rPr>
          <w:rFonts w:ascii="Arial" w:hAnsi="Arial" w:cs="Arial"/>
        </w:rPr>
        <w:t xml:space="preserve">OBJETO: </w:t>
      </w:r>
      <w:r w:rsidR="00620270" w:rsidRPr="00F843F1">
        <w:rPr>
          <w:rFonts w:ascii="Arial" w:hAnsi="Arial" w:cs="Arial"/>
        </w:rPr>
        <w:t>Adquisición, instalación y calibración de</w:t>
      </w:r>
      <w:r w:rsidR="008E2468">
        <w:rPr>
          <w:rFonts w:ascii="Arial" w:hAnsi="Arial" w:cs="Arial"/>
        </w:rPr>
        <w:t xml:space="preserve"> dos (</w:t>
      </w:r>
      <w:r w:rsidR="00E45638" w:rsidRPr="00F843F1">
        <w:rPr>
          <w:rFonts w:ascii="Arial" w:hAnsi="Arial" w:cs="Arial"/>
        </w:rPr>
        <w:t>2</w:t>
      </w:r>
      <w:r w:rsidR="008E2468">
        <w:rPr>
          <w:rFonts w:ascii="Arial" w:hAnsi="Arial" w:cs="Arial"/>
        </w:rPr>
        <w:t>)</w:t>
      </w:r>
      <w:r w:rsidR="00620270" w:rsidRPr="00F843F1">
        <w:rPr>
          <w:rFonts w:ascii="Arial" w:hAnsi="Arial" w:cs="Arial"/>
        </w:rPr>
        <w:t xml:space="preserve"> estaciones meteorológicas.</w:t>
      </w:r>
    </w:p>
    <w:p w:rsidR="00DD0922" w:rsidRPr="00A71B4C" w:rsidRDefault="00DD0922" w:rsidP="00DD0922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COSTO DEL PLIEGO:</w:t>
      </w:r>
      <w:r w:rsidR="00620270">
        <w:rPr>
          <w:rFonts w:ascii="Arial" w:hAnsi="Arial" w:cs="Arial"/>
        </w:rPr>
        <w:t xml:space="preserve"> </w:t>
      </w:r>
      <w:r w:rsidR="00D802B4" w:rsidRPr="00A71B4C">
        <w:rPr>
          <w:rFonts w:ascii="Arial" w:hAnsi="Arial" w:cs="Arial"/>
          <w:b/>
          <w:bCs/>
        </w:rPr>
        <w:t>G</w:t>
      </w:r>
      <w:r w:rsidR="00D04D8D" w:rsidRPr="00A71B4C">
        <w:rPr>
          <w:rFonts w:ascii="Arial" w:hAnsi="Arial" w:cs="Arial"/>
          <w:b/>
          <w:bCs/>
        </w:rPr>
        <w:t>ratuito</w:t>
      </w:r>
    </w:p>
    <w:p w:rsidR="00D04D8D" w:rsidRPr="00A71B4C" w:rsidRDefault="00D04D8D">
      <w:pPr>
        <w:rPr>
          <w:rFonts w:ascii="Arial" w:hAnsi="Arial" w:cs="Arial"/>
        </w:rPr>
      </w:pPr>
      <w:r w:rsidRPr="00A71B4C">
        <w:rPr>
          <w:rFonts w:ascii="Arial" w:hAnsi="Arial" w:cs="Arial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-18897900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217FE" w:rsidRPr="00A71B4C" w:rsidRDefault="00663860">
          <w:pPr>
            <w:pStyle w:val="TtulodeTDC"/>
            <w:rPr>
              <w:rFonts w:ascii="Arial" w:hAnsi="Arial" w:cs="Arial"/>
              <w:color w:val="auto"/>
              <w:lang w:val="es-ES"/>
            </w:rPr>
          </w:pPr>
          <w:r w:rsidRPr="00A71B4C">
            <w:rPr>
              <w:rFonts w:ascii="Arial" w:hAnsi="Arial" w:cs="Arial"/>
              <w:color w:val="auto"/>
              <w:lang w:val="es-ES"/>
            </w:rPr>
            <w:t>Índice</w:t>
          </w:r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r w:rsidRPr="00392BDB">
            <w:rPr>
              <w:rFonts w:ascii="Arial" w:hAnsi="Arial" w:cs="Arial"/>
            </w:rPr>
            <w:fldChar w:fldCharType="begin"/>
          </w:r>
          <w:r w:rsidR="008217FE" w:rsidRPr="00A71B4C">
            <w:rPr>
              <w:rFonts w:ascii="Arial" w:hAnsi="Arial" w:cs="Arial"/>
            </w:rPr>
            <w:instrText xml:space="preserve"> TOC \o "1-3" \h \z \u </w:instrText>
          </w:r>
          <w:r w:rsidRPr="00392BDB">
            <w:rPr>
              <w:rFonts w:ascii="Arial" w:hAnsi="Arial" w:cs="Arial"/>
            </w:rPr>
            <w:fldChar w:fldCharType="separate"/>
          </w:r>
          <w:hyperlink w:anchor="_Toc104883675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1: AMBITO DE APLICACIÓN.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_Toc104883675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4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76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2: CONSULTA Y RETIRO DE PLIEGOS.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_Toc104883676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4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77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3: INFORMES SUPLEMENTARIOS. CIRCULARES.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_Toc104883677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4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78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4: FECHA DE PRESENTACIÓN DE LAS OFERTAS.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_Toc104883678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4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79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5: COMPUTO DE PLAZOS.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7223A4">
              <w:rPr>
                <w:rFonts w:ascii="Arial" w:hAnsi="Arial" w:cs="Arial"/>
                <w:noProof/>
                <w:webHidden/>
              </w:rPr>
              <w:t>4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80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6: CONOCIMIENTO DE ANTECEDENTES.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_Toc104883680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5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81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7: OFERENTES.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_Toc104883681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5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82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8: INHABILITACIÓN.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_Toc104883682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5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83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9: CONSTITUCIÓN DE DOMICILIO LEGAL.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5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84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10: PROPUESTA. FORMA DE COTIZAR.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_Toc104883684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6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85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11: FORMA DE PRESENTACIÓN.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_Toc104883685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6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86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12: DOCUMENTACIÓN QUE INTEGRARÁ LA OFERTA.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6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87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13: MANTENIMIENTO DE LA OFERTA.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88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14: GARANTÍA DE MANTENIMIENTO DE OFERTA.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89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15: FORMA DE CONSTITUCIÓN.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90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16: DEVOLUCIÓN DE LA GARANTÍA DE OFERTA.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91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17: PÉRDIDA DE LA GARANTÍA DE OFERTA.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.8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92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18: APERTURA DE OFERTAS.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8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93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19: ACTA DE APERTURA.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9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94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20: VISTA DE LOS ACTUADOS.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9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95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21: ANÁLISIS DE LAS OFERTAS.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9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96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22: INADMISIBILIDAD DE LAS OFERTAS.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10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97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23: ACEPTACIÓN DE LAS OFERTAS.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_Toc104883697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1E7158">
              <w:rPr>
                <w:rFonts w:ascii="Arial" w:hAnsi="Arial" w:cs="Arial"/>
                <w:noProof/>
                <w:webHidden/>
              </w:rPr>
              <w:t>0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98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24: EVALUACIÓN DE LAS OFERTAS.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_Toc104883698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1E7158">
              <w:rPr>
                <w:rFonts w:ascii="Arial" w:hAnsi="Arial" w:cs="Arial"/>
                <w:noProof/>
                <w:webHidden/>
              </w:rPr>
              <w:t>0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699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25: DICTAMEN.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="001E7158">
              <w:rPr>
                <w:rFonts w:ascii="Arial" w:hAnsi="Arial" w:cs="Arial"/>
                <w:noProof/>
                <w:webHidden/>
              </w:rPr>
              <w:t>11</w:t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00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26: IMPUGNACIÓN DEL DICTAMEN.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_Toc104883700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4E4C28">
              <w:rPr>
                <w:rFonts w:ascii="Arial" w:hAnsi="Arial" w:cs="Arial"/>
                <w:noProof/>
                <w:webHidden/>
              </w:rPr>
              <w:t>1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01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27: ADJUDICACIÓN DEL CONCURSO.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_Toc104883701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4E4C28">
              <w:rPr>
                <w:rFonts w:ascii="Arial" w:hAnsi="Arial" w:cs="Arial"/>
                <w:noProof/>
                <w:webHidden/>
              </w:rPr>
              <w:t>2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02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28: ORDEN DE COMPRA – PERFECCIONAMIENTO DEL CONTRATO.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_Toc104883702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4E4C28">
              <w:rPr>
                <w:rFonts w:ascii="Arial" w:hAnsi="Arial" w:cs="Arial"/>
                <w:noProof/>
                <w:webHidden/>
              </w:rPr>
              <w:t>2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03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29: GARANTÍA DE CUMPLIMIENTO DEL CONTRATO.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_Toc104883703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4E4C28">
              <w:rPr>
                <w:rFonts w:ascii="Arial" w:hAnsi="Arial" w:cs="Arial"/>
                <w:noProof/>
                <w:webHidden/>
              </w:rPr>
              <w:t>2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04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30: DEVOLUCIÓN DE LA GARANTÍA DE CUMPLIMIENTO DEL CONTRATO.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_Toc104883704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4E4C28">
              <w:rPr>
                <w:rFonts w:ascii="Arial" w:hAnsi="Arial" w:cs="Arial"/>
                <w:noProof/>
                <w:webHidden/>
              </w:rPr>
              <w:t>2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05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31: PLAZO Y LUGAR DE ENTREGA. RECEPCIÓN.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_Toc104883705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4E4C28">
              <w:rPr>
                <w:rFonts w:ascii="Arial" w:hAnsi="Arial" w:cs="Arial"/>
                <w:noProof/>
                <w:webHidden/>
              </w:rPr>
              <w:t>3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06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32: FORMA DE PAGO. MONEDA.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_Toc104883706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4E4C28">
              <w:rPr>
                <w:rFonts w:ascii="Arial" w:hAnsi="Arial" w:cs="Arial"/>
                <w:noProof/>
                <w:webHidden/>
              </w:rPr>
              <w:t>3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07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33: LUGAR Y FORMA DE PRESENTACIÓN DE LAS FACTURAS.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_Toc104883707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4E4C28">
              <w:rPr>
                <w:rFonts w:ascii="Arial" w:hAnsi="Arial" w:cs="Arial"/>
                <w:noProof/>
                <w:webHidden/>
              </w:rPr>
              <w:t>3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08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34: ORDEN DE PRELACIÓN.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_Toc104883708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2B0209">
              <w:rPr>
                <w:rFonts w:ascii="Arial" w:hAnsi="Arial" w:cs="Arial"/>
                <w:noProof/>
                <w:webHidden/>
              </w:rPr>
              <w:t>3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09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35: MORA EN EL CUMPLIMIENTO.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_Toc104883709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2B0209">
              <w:rPr>
                <w:rFonts w:ascii="Arial" w:hAnsi="Arial" w:cs="Arial"/>
                <w:noProof/>
                <w:webHidden/>
              </w:rPr>
              <w:t>3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10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36: PENALIDADES.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_Toc104883710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2B0209">
              <w:rPr>
                <w:rFonts w:ascii="Arial" w:hAnsi="Arial" w:cs="Arial"/>
                <w:noProof/>
                <w:webHidden/>
              </w:rPr>
              <w:t>4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11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37: AUMENTO O DISMINUCIÓN DE LA PRESTACIÓN.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_Toc104883711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2B0209">
              <w:rPr>
                <w:rFonts w:ascii="Arial" w:hAnsi="Arial" w:cs="Arial"/>
                <w:noProof/>
                <w:webHidden/>
              </w:rPr>
              <w:t>4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12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38: CASO FORTUITO O FUERZA MAYOR.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_Toc104883712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2B0209">
              <w:rPr>
                <w:rFonts w:ascii="Arial" w:hAnsi="Arial" w:cs="Arial"/>
                <w:noProof/>
                <w:webHidden/>
              </w:rPr>
              <w:t>4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47C0C" w:rsidRPr="00A71B4C" w:rsidRDefault="00392BDB">
          <w:pPr>
            <w:pStyle w:val="TDC2"/>
            <w:tabs>
              <w:tab w:val="right" w:leader="dot" w:pos="8494"/>
            </w:tabs>
            <w:rPr>
              <w:rFonts w:ascii="Arial" w:eastAsiaTheme="minorEastAsia" w:hAnsi="Arial" w:cs="Arial"/>
              <w:noProof/>
              <w:lang w:val="es-AR" w:eastAsia="es-AR"/>
            </w:rPr>
          </w:pPr>
          <w:hyperlink w:anchor="_Toc104883713" w:history="1">
            <w:r w:rsidR="00047C0C" w:rsidRPr="00A71B4C">
              <w:rPr>
                <w:rStyle w:val="Hipervnculo"/>
                <w:rFonts w:ascii="Arial" w:hAnsi="Arial" w:cs="Arial"/>
                <w:noProof/>
              </w:rPr>
              <w:t>ARTÍCULO N.º 39: RESCISIÓN.</w:t>
            </w:r>
            <w:r w:rsidR="00047C0C" w:rsidRPr="00A71B4C">
              <w:rPr>
                <w:rFonts w:ascii="Arial" w:hAnsi="Arial" w:cs="Arial"/>
                <w:noProof/>
                <w:webHidden/>
              </w:rPr>
              <w:tab/>
            </w:r>
            <w:r w:rsidRPr="00A71B4C">
              <w:rPr>
                <w:rFonts w:ascii="Arial" w:hAnsi="Arial" w:cs="Arial"/>
                <w:noProof/>
                <w:webHidden/>
              </w:rPr>
              <w:fldChar w:fldCharType="begin"/>
            </w:r>
            <w:r w:rsidR="00047C0C" w:rsidRPr="00A71B4C">
              <w:rPr>
                <w:rFonts w:ascii="Arial" w:hAnsi="Arial" w:cs="Arial"/>
                <w:noProof/>
                <w:webHidden/>
              </w:rPr>
              <w:instrText xml:space="preserve"> PAGEREF _Toc104883713 \h </w:instrText>
            </w:r>
            <w:r w:rsidRPr="00A71B4C">
              <w:rPr>
                <w:rFonts w:ascii="Arial" w:hAnsi="Arial" w:cs="Arial"/>
                <w:noProof/>
                <w:webHidden/>
              </w:rPr>
            </w:r>
            <w:r w:rsidRPr="00A71B4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47C0C" w:rsidRPr="00A71B4C">
              <w:rPr>
                <w:rFonts w:ascii="Arial" w:hAnsi="Arial" w:cs="Arial"/>
                <w:noProof/>
                <w:webHidden/>
              </w:rPr>
              <w:t>1</w:t>
            </w:r>
            <w:r w:rsidR="002B0209">
              <w:rPr>
                <w:rFonts w:ascii="Arial" w:hAnsi="Arial" w:cs="Arial"/>
                <w:noProof/>
                <w:webHidden/>
              </w:rPr>
              <w:t>4</w:t>
            </w:r>
            <w:r w:rsidRPr="00A71B4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217FE" w:rsidRPr="00A71B4C" w:rsidRDefault="00392BDB">
          <w:pPr>
            <w:rPr>
              <w:rFonts w:ascii="Arial" w:hAnsi="Arial" w:cs="Arial"/>
            </w:rPr>
          </w:pPr>
          <w:r w:rsidRPr="00A71B4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DD0922" w:rsidRPr="00A71B4C" w:rsidRDefault="00DD0922">
      <w:pPr>
        <w:rPr>
          <w:rFonts w:ascii="Arial" w:hAnsi="Arial" w:cs="Arial"/>
        </w:rPr>
      </w:pPr>
      <w:r w:rsidRPr="00A71B4C">
        <w:rPr>
          <w:rFonts w:ascii="Arial" w:hAnsi="Arial" w:cs="Arial"/>
        </w:rPr>
        <w:br w:type="page"/>
      </w:r>
    </w:p>
    <w:p w:rsidR="00D04D8D" w:rsidRPr="00A71B4C" w:rsidRDefault="00D04D8D" w:rsidP="008217FE">
      <w:pPr>
        <w:pStyle w:val="Ttulo2"/>
      </w:pPr>
      <w:bookmarkStart w:id="1" w:name="_Toc104883675"/>
      <w:r w:rsidRPr="00A71B4C">
        <w:lastRenderedPageBreak/>
        <w:t>ARTÍCULO N.º 1: AMBITO DE APLICACIÓN.</w:t>
      </w:r>
      <w:bookmarkEnd w:id="1"/>
    </w:p>
    <w:p w:rsidR="00D04D8D" w:rsidRPr="00A71B4C" w:rsidRDefault="00D04D8D" w:rsidP="00A71B4C">
      <w:p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Las normas contenidas en el presente articulado constituyen el Pliego de Condiciones Generales para la Contratación de Bienes y Servicios que realicen los Centros Tecnológicos, las Unidades Ejecutoras</w:t>
      </w:r>
      <w:r w:rsidR="00620270">
        <w:rPr>
          <w:rFonts w:ascii="Arial" w:hAnsi="Arial" w:cs="Arial"/>
        </w:rPr>
        <w:t xml:space="preserve"> </w:t>
      </w:r>
      <w:r w:rsidRPr="00A71B4C">
        <w:rPr>
          <w:rFonts w:ascii="Arial" w:hAnsi="Arial" w:cs="Arial"/>
        </w:rPr>
        <w:t>de CONICET y las Administradoras de Fondos, denominadas en adelante “</w:t>
      </w:r>
      <w:r w:rsidR="000550EC">
        <w:rPr>
          <w:rFonts w:ascii="Arial" w:hAnsi="Arial" w:cs="Arial"/>
        </w:rPr>
        <w:t>la institución</w:t>
      </w:r>
      <w:r w:rsidRPr="00A71B4C">
        <w:rPr>
          <w:rFonts w:ascii="Arial" w:hAnsi="Arial" w:cs="Arial"/>
        </w:rPr>
        <w:t>”.</w:t>
      </w:r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8217FE">
      <w:pPr>
        <w:pStyle w:val="Ttulo2"/>
      </w:pPr>
      <w:bookmarkStart w:id="2" w:name="_Toc104883676"/>
      <w:r w:rsidRPr="00A71B4C">
        <w:t xml:space="preserve">ARTÍCULO </w:t>
      </w:r>
      <w:r w:rsidR="008217FE" w:rsidRPr="00A71B4C">
        <w:t>N.º</w:t>
      </w:r>
      <w:r w:rsidRPr="00A71B4C">
        <w:t xml:space="preserve"> 2: CONSULTA Y RETIRO DE PLIEGOS.</w:t>
      </w:r>
      <w:bookmarkEnd w:id="2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Los pliegos podrán consultarse de acuerdo con lo establecido en el Pliego de Condiciones Particulares</w:t>
      </w:r>
      <w:r w:rsidR="0034551A" w:rsidRPr="00A71B4C">
        <w:rPr>
          <w:rFonts w:ascii="Arial" w:hAnsi="Arial" w:cs="Arial"/>
        </w:rPr>
        <w:t xml:space="preserve"> y Especificaciones Técnicas</w:t>
      </w:r>
      <w:r w:rsidRPr="00A71B4C">
        <w:rPr>
          <w:rFonts w:ascii="Arial" w:hAnsi="Arial" w:cs="Arial"/>
        </w:rPr>
        <w:t>.</w:t>
      </w:r>
    </w:p>
    <w:p w:rsidR="00663860" w:rsidRPr="00A71B4C" w:rsidRDefault="00663860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663860">
      <w:pPr>
        <w:pStyle w:val="Ttulo2"/>
      </w:pPr>
      <w:bookmarkStart w:id="3" w:name="_Toc104883677"/>
      <w:r w:rsidRPr="00A71B4C">
        <w:t xml:space="preserve">ARTÍCULO </w:t>
      </w:r>
      <w:r w:rsidR="00663860" w:rsidRPr="00A71B4C">
        <w:t>N.º</w:t>
      </w:r>
      <w:r w:rsidRPr="00A71B4C">
        <w:t xml:space="preserve"> 3: INFORMES SUPLEMENTARIOS. CIRCULARES.</w:t>
      </w:r>
      <w:bookmarkEnd w:id="3"/>
    </w:p>
    <w:p w:rsidR="00D04D8D" w:rsidRPr="0048051B" w:rsidRDefault="00D04D8D" w:rsidP="00A71B4C">
      <w:p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Las dudas que pudieren originarse en lo expresado en el presente pliego o en el de Condiciones Particulares y Especificaciones Técnicas, deberán plantearse al correo </w:t>
      </w:r>
      <w:r w:rsidRPr="0048051B">
        <w:rPr>
          <w:rFonts w:ascii="Arial" w:hAnsi="Arial" w:cs="Arial"/>
        </w:rPr>
        <w:t xml:space="preserve">electrónico </w:t>
      </w:r>
      <w:r w:rsidR="005F7F9B">
        <w:rPr>
          <w:rFonts w:ascii="Arial" w:hAnsi="Arial" w:cs="Arial"/>
        </w:rPr>
        <w:t>jaybar@innovat.org.ar</w:t>
      </w:r>
    </w:p>
    <w:p w:rsidR="00D04D8D" w:rsidRPr="00A71B4C" w:rsidRDefault="00D04D8D" w:rsidP="00A71B4C">
      <w:p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En respuesta a las consultas, </w:t>
      </w:r>
      <w:r w:rsidR="000550EC">
        <w:rPr>
          <w:rFonts w:ascii="Arial" w:hAnsi="Arial" w:cs="Arial"/>
        </w:rPr>
        <w:t>la institución</w:t>
      </w:r>
      <w:r w:rsidRPr="00A71B4C">
        <w:rPr>
          <w:rFonts w:ascii="Arial" w:hAnsi="Arial" w:cs="Arial"/>
        </w:rPr>
        <w:t xml:space="preserve"> deberá elaborar una circular aclaratoria que será comunicada en forma fehaciente en el domicilio digital que hubiese consignado el interesado.</w:t>
      </w:r>
    </w:p>
    <w:p w:rsidR="00D04D8D" w:rsidRPr="00A71B4C" w:rsidRDefault="000550EC" w:rsidP="00A71B4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institución</w:t>
      </w:r>
      <w:r w:rsidR="00D04D8D" w:rsidRPr="00A71B4C">
        <w:rPr>
          <w:rFonts w:ascii="Arial" w:hAnsi="Arial" w:cs="Arial"/>
        </w:rPr>
        <w:t xml:space="preserve"> podrá de oficio realizar las aclaraciones que sean pertinentes, siguiendo el procedimiento mencionado precedentemente. La circular se incluirá como parte integrante del pliego.</w:t>
      </w:r>
    </w:p>
    <w:p w:rsidR="00A71B4C" w:rsidRPr="00A71B4C" w:rsidRDefault="00A71B4C" w:rsidP="00663860">
      <w:pPr>
        <w:pStyle w:val="Ttulo2"/>
      </w:pPr>
      <w:bookmarkStart w:id="4" w:name="_Toc104883678"/>
    </w:p>
    <w:p w:rsidR="00D04D8D" w:rsidRPr="00A71B4C" w:rsidRDefault="00D04D8D" w:rsidP="00663860">
      <w:pPr>
        <w:pStyle w:val="Ttulo2"/>
      </w:pPr>
      <w:r w:rsidRPr="00A71B4C">
        <w:t xml:space="preserve">ARTÍCULO </w:t>
      </w:r>
      <w:r w:rsidR="00663860" w:rsidRPr="00A71B4C">
        <w:t>N.º</w:t>
      </w:r>
      <w:r w:rsidRPr="00A71B4C">
        <w:t xml:space="preserve"> 4: FECHA DE PRESENTACIÓN DE LAS OFERTAS.</w:t>
      </w:r>
      <w:bookmarkEnd w:id="4"/>
    </w:p>
    <w:p w:rsidR="001336AC" w:rsidRPr="00A71B4C" w:rsidRDefault="00D04D8D" w:rsidP="00A71B4C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Las ofertas deberán entregarse de acuerdo con lo establecido en el Pliego de Condiciones Particulares y Especificaciones Técnicas.</w:t>
      </w:r>
      <w:bookmarkStart w:id="5" w:name="_Toc104883679"/>
    </w:p>
    <w:p w:rsidR="00A71B4C" w:rsidRPr="00A71B4C" w:rsidRDefault="00A71B4C" w:rsidP="00A71B4C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34551A">
      <w:pPr>
        <w:pStyle w:val="Ttulo2"/>
      </w:pPr>
      <w:r w:rsidRPr="00A71B4C">
        <w:t xml:space="preserve">ARTÍCULO </w:t>
      </w:r>
      <w:r w:rsidR="0034551A" w:rsidRPr="00A71B4C">
        <w:t>N.º</w:t>
      </w:r>
      <w:r w:rsidRPr="00A71B4C">
        <w:t xml:space="preserve"> 5: COMPUTO DE PLAZOS.</w:t>
      </w:r>
      <w:bookmarkEnd w:id="5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Los plazos establecidos se computarán en días hábiles administrativos, salvo que se exprese lo contrario en el Pliego de Condiciones Particulares y Especificaciones Técnicas.</w:t>
      </w:r>
    </w:p>
    <w:p w:rsidR="0034551A" w:rsidRPr="00A71B4C" w:rsidRDefault="0034551A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34551A">
      <w:pPr>
        <w:pStyle w:val="Ttulo2"/>
      </w:pPr>
      <w:bookmarkStart w:id="6" w:name="_Toc104883680"/>
      <w:r w:rsidRPr="00A71B4C">
        <w:lastRenderedPageBreak/>
        <w:t xml:space="preserve">ARTÍCULO </w:t>
      </w:r>
      <w:r w:rsidR="0034551A" w:rsidRPr="00A71B4C">
        <w:t>N.º</w:t>
      </w:r>
      <w:r w:rsidRPr="00A71B4C">
        <w:t xml:space="preserve"> 6: CONOCIMIENTO DE ANTECEDENTES.</w:t>
      </w:r>
      <w:bookmarkEnd w:id="6"/>
    </w:p>
    <w:p w:rsidR="00D04D8D" w:rsidRPr="00A71B4C" w:rsidRDefault="00D04D8D" w:rsidP="00A71B4C">
      <w:p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Quien concurre al presente concurso no podrá alegar en caso alguno falta de conocimiento de este pliego, y el solo hecho de la presentación de la oferta implica el pleno conocimiento y aceptación de la totalidad de las bases y condiciones estipuladas.</w:t>
      </w:r>
    </w:p>
    <w:p w:rsidR="0034551A" w:rsidRPr="00A71B4C" w:rsidRDefault="0034551A" w:rsidP="00A71B4C">
      <w:pPr>
        <w:spacing w:after="0" w:line="360" w:lineRule="auto"/>
        <w:jc w:val="both"/>
        <w:rPr>
          <w:rFonts w:ascii="Arial" w:hAnsi="Arial" w:cs="Arial"/>
        </w:rPr>
      </w:pPr>
    </w:p>
    <w:p w:rsidR="00D04D8D" w:rsidRPr="00A71B4C" w:rsidRDefault="00D04D8D" w:rsidP="00B571F2">
      <w:pPr>
        <w:pStyle w:val="Ttulo2"/>
      </w:pPr>
      <w:bookmarkStart w:id="7" w:name="_Toc104883681"/>
      <w:r w:rsidRPr="00A71B4C">
        <w:t xml:space="preserve">ARTÍCULO </w:t>
      </w:r>
      <w:r w:rsidR="00B571F2" w:rsidRPr="00A71B4C">
        <w:t>N.º</w:t>
      </w:r>
      <w:r w:rsidRPr="00A71B4C">
        <w:t xml:space="preserve"> 7: OFERENTES.</w:t>
      </w:r>
      <w:bookmarkEnd w:id="7"/>
    </w:p>
    <w:p w:rsidR="00D04D8D" w:rsidRPr="00A71B4C" w:rsidRDefault="00D04D8D" w:rsidP="00A71B4C">
      <w:p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Podrán ser oferentes las sociedades legalmente constituidas y reconocidas de acuerdo con las leyes vigentes y las personas físicas, sociedades de hecho y las Agrupaciones de Colaboración y Uniones Transitorias de empresas.</w:t>
      </w:r>
    </w:p>
    <w:p w:rsidR="00B571F2" w:rsidRPr="00A71B4C" w:rsidRDefault="00B571F2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B571F2">
      <w:pPr>
        <w:pStyle w:val="Ttulo2"/>
      </w:pPr>
      <w:bookmarkStart w:id="8" w:name="_Toc104883682"/>
      <w:r w:rsidRPr="00A71B4C">
        <w:t xml:space="preserve">ARTÍCULO </w:t>
      </w:r>
      <w:r w:rsidR="00B571F2" w:rsidRPr="00A71B4C">
        <w:t>N.º</w:t>
      </w:r>
      <w:r w:rsidRPr="00A71B4C">
        <w:t xml:space="preserve"> 8: INHABILITACIÓN.</w:t>
      </w:r>
      <w:bookmarkEnd w:id="8"/>
    </w:p>
    <w:p w:rsidR="00D04D8D" w:rsidRPr="00A71B4C" w:rsidRDefault="00D04D8D" w:rsidP="00A71B4C">
      <w:p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No podrán ser oferentes los comprendidos en los siguientes caso</w:t>
      </w:r>
      <w:r w:rsidR="001336AC" w:rsidRPr="00A71B4C">
        <w:rPr>
          <w:rFonts w:ascii="Arial" w:hAnsi="Arial" w:cs="Arial"/>
        </w:rPr>
        <w:t>s</w:t>
      </w:r>
      <w:r w:rsidR="003E68E0" w:rsidRPr="00A71B4C">
        <w:rPr>
          <w:rFonts w:ascii="Arial" w:hAnsi="Arial" w:cs="Arial"/>
        </w:rPr>
        <w:t>:</w:t>
      </w:r>
    </w:p>
    <w:p w:rsidR="00D04D8D" w:rsidRPr="00A71B4C" w:rsidRDefault="00D04D8D" w:rsidP="00A71B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Los agentes y funcionarios del Estado Nacional y las empresas en las cuales aquellos tuvieren participación suficiente para formar la voluntad social.</w:t>
      </w:r>
    </w:p>
    <w:p w:rsidR="00D04D8D" w:rsidRPr="00A71B4C" w:rsidRDefault="00D04D8D" w:rsidP="00A71B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Las empresas en concurso, quiebra o liquidación.</w:t>
      </w:r>
    </w:p>
    <w:p w:rsidR="00D04D8D" w:rsidRPr="00A71B4C" w:rsidRDefault="00D04D8D" w:rsidP="00A71B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Los fallidos, interdictos y concursados, salvo que estos últimos presenten la autorización judicial correspondiente y se trate de contratos donde resulte intrascendente la capacidad económica del oferente.</w:t>
      </w:r>
    </w:p>
    <w:p w:rsidR="00D04D8D" w:rsidRPr="00A71B4C" w:rsidRDefault="00D04D8D" w:rsidP="00A71B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Los condenados por delitos dolosos.</w:t>
      </w:r>
    </w:p>
    <w:p w:rsidR="00D04D8D" w:rsidRPr="00A71B4C" w:rsidRDefault="00D04D8D" w:rsidP="00A71B4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Las personas que se encontraren procesadas por delito contra la propiedad o contra la Administración </w:t>
      </w:r>
      <w:r w:rsidR="00B571F2" w:rsidRPr="00A71B4C">
        <w:rPr>
          <w:rFonts w:ascii="Arial" w:hAnsi="Arial" w:cs="Arial"/>
        </w:rPr>
        <w:t>Pública</w:t>
      </w:r>
      <w:r w:rsidRPr="00A71B4C">
        <w:rPr>
          <w:rFonts w:ascii="Arial" w:hAnsi="Arial" w:cs="Arial"/>
        </w:rPr>
        <w:t xml:space="preserve"> Nacional, Provincial o Municipal o contra la fe pública o por delitos comprendidos en la Convención Interamericana contra la Corrupción, Ley 24.579.</w:t>
      </w:r>
    </w:p>
    <w:p w:rsidR="00B571F2" w:rsidRPr="00A71B4C" w:rsidRDefault="00B571F2" w:rsidP="00A71B4C">
      <w:pPr>
        <w:spacing w:after="0" w:line="360" w:lineRule="auto"/>
        <w:jc w:val="both"/>
        <w:rPr>
          <w:rFonts w:ascii="Arial" w:hAnsi="Arial" w:cs="Arial"/>
        </w:rPr>
      </w:pPr>
    </w:p>
    <w:p w:rsidR="00D04D8D" w:rsidRPr="00A71B4C" w:rsidRDefault="00D04D8D" w:rsidP="00B571F2">
      <w:pPr>
        <w:pStyle w:val="Ttulo2"/>
      </w:pPr>
      <w:bookmarkStart w:id="9" w:name="_Toc104883683"/>
      <w:r w:rsidRPr="00A71B4C">
        <w:t xml:space="preserve">ARTÍCULO </w:t>
      </w:r>
      <w:r w:rsidR="00B571F2" w:rsidRPr="00A71B4C">
        <w:t>N.º</w:t>
      </w:r>
      <w:r w:rsidRPr="00A71B4C">
        <w:t xml:space="preserve"> 9: CONSTITUCIÓN DE DOMICILIO LEGAL.</w:t>
      </w:r>
      <w:bookmarkEnd w:id="9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Las partes deberán dejar constituidos sus domicilios legales y se someterán expresamente, para cualquier cuestión judicial emergente del presente llamado a concurso, a la jurisdicción de los </w:t>
      </w:r>
      <w:r w:rsidRPr="007223A4">
        <w:rPr>
          <w:rFonts w:ascii="Arial" w:hAnsi="Arial" w:cs="Arial"/>
        </w:rPr>
        <w:t>Tribunales Federales con asiento en la Ciudad Autónoma de Buenos Aires.</w:t>
      </w:r>
    </w:p>
    <w:p w:rsidR="00A71B4C" w:rsidRPr="00A71B4C" w:rsidRDefault="00A71B4C" w:rsidP="00D04D8D">
      <w:pPr>
        <w:spacing w:line="360" w:lineRule="auto"/>
        <w:jc w:val="both"/>
        <w:rPr>
          <w:rFonts w:ascii="Arial" w:hAnsi="Arial" w:cs="Arial"/>
        </w:rPr>
      </w:pPr>
    </w:p>
    <w:p w:rsidR="00A71B4C" w:rsidRPr="00A71B4C" w:rsidRDefault="00A71B4C" w:rsidP="00D04D8D">
      <w:pPr>
        <w:spacing w:line="360" w:lineRule="auto"/>
        <w:jc w:val="both"/>
        <w:rPr>
          <w:rFonts w:ascii="Arial" w:hAnsi="Arial" w:cs="Arial"/>
        </w:rPr>
      </w:pPr>
    </w:p>
    <w:p w:rsidR="00FD1B4B" w:rsidRPr="00A71B4C" w:rsidRDefault="00FD1B4B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FD1B4B">
      <w:pPr>
        <w:pStyle w:val="Ttulo2"/>
      </w:pPr>
      <w:bookmarkStart w:id="10" w:name="_Toc104883684"/>
      <w:r w:rsidRPr="00A71B4C">
        <w:lastRenderedPageBreak/>
        <w:t xml:space="preserve">ARTÍCULO </w:t>
      </w:r>
      <w:r w:rsidR="00FD1B4B" w:rsidRPr="00A71B4C">
        <w:t>N.º</w:t>
      </w:r>
      <w:r w:rsidRPr="00A71B4C">
        <w:t xml:space="preserve"> 10: PROPUESTA. FORMA DE COTIZAR.</w:t>
      </w:r>
      <w:bookmarkEnd w:id="10"/>
    </w:p>
    <w:p w:rsidR="00D04D8D" w:rsidRPr="00A71B4C" w:rsidRDefault="00D04D8D" w:rsidP="00A71B4C">
      <w:p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Las ofertas deberán cotizarse</w:t>
      </w:r>
      <w:r w:rsidR="00D37AC3" w:rsidRPr="00A71B4C">
        <w:rPr>
          <w:rFonts w:ascii="Arial" w:hAnsi="Arial" w:cs="Arial"/>
        </w:rPr>
        <w:t xml:space="preserve"> en</w:t>
      </w:r>
      <w:r w:rsidR="001A0C1D">
        <w:rPr>
          <w:rFonts w:ascii="Arial" w:hAnsi="Arial" w:cs="Arial"/>
        </w:rPr>
        <w:t xml:space="preserve"> </w:t>
      </w:r>
      <w:r w:rsidR="00BD3A06" w:rsidRPr="007223A4">
        <w:rPr>
          <w:rFonts w:ascii="Arial" w:hAnsi="Arial" w:cs="Arial"/>
        </w:rPr>
        <w:t>PESOS</w:t>
      </w:r>
      <w:r w:rsidR="00D37AC3" w:rsidRPr="0048051B">
        <w:rPr>
          <w:rFonts w:ascii="Arial" w:hAnsi="Arial" w:cs="Arial"/>
        </w:rPr>
        <w:t xml:space="preserve"> s</w:t>
      </w:r>
      <w:r w:rsidR="00D37AC3" w:rsidRPr="00A71B4C">
        <w:rPr>
          <w:rFonts w:ascii="Arial" w:hAnsi="Arial" w:cs="Arial"/>
        </w:rPr>
        <w:t>egún</w:t>
      </w:r>
      <w:r w:rsidRPr="00A71B4C">
        <w:rPr>
          <w:rFonts w:ascii="Arial" w:hAnsi="Arial" w:cs="Arial"/>
        </w:rPr>
        <w:t xml:space="preserve"> Pliego de Condiciones Particulares y Especificaciones Téc</w:t>
      </w:r>
      <w:r w:rsidR="00D37AC3" w:rsidRPr="00A71B4C">
        <w:rPr>
          <w:rFonts w:ascii="Arial" w:hAnsi="Arial" w:cs="Arial"/>
        </w:rPr>
        <w:t xml:space="preserve">nicas, debiendo incluir el IVA </w:t>
      </w:r>
      <w:r w:rsidRPr="00A71B4C">
        <w:rPr>
          <w:rFonts w:ascii="Arial" w:hAnsi="Arial" w:cs="Arial"/>
        </w:rPr>
        <w:t xml:space="preserve">y no deberá tener enmiendas ni </w:t>
      </w:r>
      <w:r w:rsidR="001A68FF" w:rsidRPr="00A71B4C">
        <w:rPr>
          <w:rFonts w:ascii="Arial" w:hAnsi="Arial" w:cs="Arial"/>
        </w:rPr>
        <w:t>tachaduras</w:t>
      </w:r>
      <w:r w:rsidRPr="00A71B4C">
        <w:rPr>
          <w:rFonts w:ascii="Arial" w:hAnsi="Arial" w:cs="Arial"/>
        </w:rPr>
        <w:t xml:space="preserve"> que no hubieran sido salvadas.</w:t>
      </w:r>
    </w:p>
    <w:p w:rsidR="001A68FF" w:rsidRPr="00A71B4C" w:rsidRDefault="001A68FF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FE43B7">
      <w:pPr>
        <w:pStyle w:val="Ttulo2"/>
      </w:pPr>
      <w:bookmarkStart w:id="11" w:name="_Toc104883685"/>
      <w:r w:rsidRPr="00A71B4C">
        <w:t xml:space="preserve">ARTÍCULO </w:t>
      </w:r>
      <w:r w:rsidR="00FE43B7" w:rsidRPr="00A71B4C">
        <w:t>N.º</w:t>
      </w:r>
      <w:r w:rsidRPr="00A71B4C">
        <w:t xml:space="preserve"> 11: FORMA DE PRESENTACIÓN.</w:t>
      </w:r>
      <w:bookmarkEnd w:id="11"/>
    </w:p>
    <w:p w:rsidR="00A71B4C" w:rsidRPr="00A71B4C" w:rsidRDefault="00D04D8D" w:rsidP="00A71B4C">
      <w:p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Las ofertas deberán presentarse en formato impreso. </w:t>
      </w:r>
      <w:r w:rsidR="00721C03">
        <w:rPr>
          <w:rFonts w:ascii="Arial" w:hAnsi="Arial" w:cs="Arial"/>
        </w:rPr>
        <w:t>L</w:t>
      </w:r>
      <w:r w:rsidRPr="00A71B4C">
        <w:rPr>
          <w:rFonts w:ascii="Arial" w:hAnsi="Arial" w:cs="Arial"/>
        </w:rPr>
        <w:t>a propuesta se presentará en un único sobre</w:t>
      </w:r>
      <w:r w:rsidR="00721C03">
        <w:rPr>
          <w:rFonts w:ascii="Arial" w:hAnsi="Arial" w:cs="Arial"/>
        </w:rPr>
        <w:t>.</w:t>
      </w:r>
    </w:p>
    <w:p w:rsidR="00D04D8D" w:rsidRPr="00A71B4C" w:rsidRDefault="00D04D8D" w:rsidP="00A71B4C">
      <w:pPr>
        <w:spacing w:after="0"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En ningún caso el sobre </w:t>
      </w:r>
      <w:r w:rsidRPr="00440E05">
        <w:rPr>
          <w:rFonts w:ascii="Arial" w:hAnsi="Arial" w:cs="Arial"/>
        </w:rPr>
        <w:t>tendrá membrete ni identificación alguna que indique al oferente y llevará como única leyenda: “</w:t>
      </w:r>
      <w:r w:rsidR="00440E05" w:rsidRPr="00440E05">
        <w:rPr>
          <w:rFonts w:ascii="Arial" w:hAnsi="Arial" w:cs="Arial"/>
          <w:b/>
          <w:bCs/>
        </w:rPr>
        <w:t>CONCURSO DE PRECIOS A SOBRE CERRADO</w:t>
      </w:r>
      <w:r w:rsidR="00440E05" w:rsidRPr="00440E05">
        <w:rPr>
          <w:rFonts w:ascii="Arial" w:hAnsi="Arial" w:cs="Arial"/>
          <w:b/>
          <w:lang w:val="es-AR"/>
        </w:rPr>
        <w:t xml:space="preserve"> Nº</w:t>
      </w:r>
      <w:r w:rsidR="0011683C">
        <w:rPr>
          <w:rFonts w:ascii="Arial" w:hAnsi="Arial" w:cs="Arial"/>
          <w:b/>
          <w:lang w:val="es-AR"/>
        </w:rPr>
        <w:t xml:space="preserve"> </w:t>
      </w:r>
      <w:r w:rsidR="0048051B" w:rsidRPr="00440E05">
        <w:rPr>
          <w:rFonts w:ascii="Arial" w:hAnsi="Arial" w:cs="Arial"/>
          <w:b/>
          <w:lang w:val="es-AR"/>
        </w:rPr>
        <w:t xml:space="preserve">1 RED </w:t>
      </w:r>
      <w:r w:rsidR="0011683C">
        <w:rPr>
          <w:rFonts w:ascii="Arial" w:hAnsi="Arial" w:cs="Arial"/>
          <w:b/>
          <w:lang w:val="es-AR"/>
        </w:rPr>
        <w:t>RIESaS</w:t>
      </w:r>
      <w:r w:rsidR="0048051B" w:rsidRPr="00440E05">
        <w:rPr>
          <w:rFonts w:ascii="Arial" w:hAnsi="Arial" w:cs="Arial"/>
          <w:b/>
          <w:lang w:val="es-AR"/>
        </w:rPr>
        <w:t>/202</w:t>
      </w:r>
      <w:r w:rsidR="006B3E94">
        <w:rPr>
          <w:rFonts w:ascii="Arial" w:hAnsi="Arial" w:cs="Arial"/>
          <w:b/>
          <w:lang w:val="es-AR"/>
        </w:rPr>
        <w:t>4</w:t>
      </w:r>
      <w:r w:rsidR="00440E05" w:rsidRPr="00440E05">
        <w:rPr>
          <w:rFonts w:ascii="Arial" w:hAnsi="Arial" w:cs="Arial"/>
          <w:lang w:val="es-AR"/>
        </w:rPr>
        <w:t>”</w:t>
      </w:r>
      <w:r w:rsidRPr="00440E05">
        <w:rPr>
          <w:rFonts w:ascii="Arial" w:hAnsi="Arial" w:cs="Arial"/>
        </w:rPr>
        <w:t xml:space="preserve">. </w:t>
      </w:r>
      <w:r w:rsidRPr="00A71B4C">
        <w:rPr>
          <w:rFonts w:ascii="Arial" w:hAnsi="Arial" w:cs="Arial"/>
        </w:rPr>
        <w:t>Fecha y Hora de Apertura</w:t>
      </w:r>
      <w:r w:rsidR="0048051B">
        <w:rPr>
          <w:rFonts w:ascii="Arial" w:hAnsi="Arial" w:cs="Arial"/>
        </w:rPr>
        <w:t xml:space="preserve"> de Sobres</w:t>
      </w:r>
      <w:r w:rsidRPr="00A71B4C">
        <w:rPr>
          <w:rFonts w:ascii="Arial" w:hAnsi="Arial" w:cs="Arial"/>
        </w:rPr>
        <w:t xml:space="preserve">: </w:t>
      </w:r>
      <w:r w:rsidR="00F843F1">
        <w:rPr>
          <w:rFonts w:ascii="Arial" w:hAnsi="Arial" w:cs="Arial"/>
        </w:rPr>
        <w:t>28 de Febrero</w:t>
      </w:r>
      <w:r w:rsidR="0048051B">
        <w:rPr>
          <w:rFonts w:ascii="Arial" w:hAnsi="Arial" w:cs="Arial"/>
        </w:rPr>
        <w:t>, a las</w:t>
      </w:r>
      <w:r w:rsidR="0011683C">
        <w:rPr>
          <w:rFonts w:ascii="Arial" w:hAnsi="Arial" w:cs="Arial"/>
        </w:rPr>
        <w:t xml:space="preserve"> </w:t>
      </w:r>
      <w:r w:rsidR="006B3E94">
        <w:rPr>
          <w:rFonts w:ascii="Arial" w:hAnsi="Arial" w:cs="Arial"/>
        </w:rPr>
        <w:t>10</w:t>
      </w:r>
      <w:r w:rsidR="0011683C">
        <w:rPr>
          <w:rFonts w:ascii="Arial" w:hAnsi="Arial" w:cs="Arial"/>
        </w:rPr>
        <w:t xml:space="preserve"> </w:t>
      </w:r>
      <w:r w:rsidR="005B76C5" w:rsidRPr="007223A4">
        <w:rPr>
          <w:rFonts w:ascii="Arial" w:hAnsi="Arial" w:cs="Arial"/>
        </w:rPr>
        <w:t>Hs.</w:t>
      </w:r>
      <w:r w:rsidR="0011683C">
        <w:rPr>
          <w:rFonts w:ascii="Arial" w:hAnsi="Arial" w:cs="Arial"/>
        </w:rPr>
        <w:t xml:space="preserve"> </w:t>
      </w:r>
      <w:r w:rsidRPr="0048051B">
        <w:rPr>
          <w:rFonts w:ascii="Arial" w:hAnsi="Arial" w:cs="Arial"/>
        </w:rPr>
        <w:t>El</w:t>
      </w:r>
      <w:r w:rsidRPr="00A71B4C">
        <w:rPr>
          <w:rFonts w:ascii="Arial" w:hAnsi="Arial" w:cs="Arial"/>
        </w:rPr>
        <w:t xml:space="preserve"> oferente deberá entregar el sobre por sí mismo o por interpósita persona, en el domicilio fijado a tal efecto y hasta el día y hora indicados en el Pliego de Condiciones Partic</w:t>
      </w:r>
      <w:bookmarkStart w:id="12" w:name="_GoBack"/>
      <w:bookmarkEnd w:id="12"/>
      <w:r w:rsidRPr="00A71B4C">
        <w:rPr>
          <w:rFonts w:ascii="Arial" w:hAnsi="Arial" w:cs="Arial"/>
        </w:rPr>
        <w:t>ulares y Especificaciones Técnicas. El sobre deberá estar convenientemente cerrado y contener toda la documentación indicada en el Artículo 12 del presente pliego. La documentación a presentar deberá estar encarpetada y foliada desde el número uno (1) al que corresponda, debidamente firmada por el oferente o el representante legal.</w:t>
      </w:r>
    </w:p>
    <w:p w:rsidR="00DC212D" w:rsidRPr="00A71B4C" w:rsidRDefault="00DC212D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DC212D">
      <w:pPr>
        <w:pStyle w:val="Ttulo2"/>
      </w:pPr>
      <w:bookmarkStart w:id="13" w:name="_Toc104883686"/>
      <w:r w:rsidRPr="00A71B4C">
        <w:t xml:space="preserve">ARTÍCULO </w:t>
      </w:r>
      <w:r w:rsidR="00DC212D" w:rsidRPr="00A71B4C">
        <w:t>N.º</w:t>
      </w:r>
      <w:r w:rsidRPr="00A71B4C">
        <w:t xml:space="preserve"> 12: DOCUMENTACIÓN QUE INTEGRARÁ LA OFERTA.</w:t>
      </w:r>
      <w:bookmarkEnd w:id="13"/>
    </w:p>
    <w:p w:rsidR="00D04D8D" w:rsidRPr="00A71B4C" w:rsidRDefault="00D04D8D" w:rsidP="00DC212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La propuesta económica (la que </w:t>
      </w:r>
      <w:r w:rsidR="00DC212D" w:rsidRPr="00A71B4C">
        <w:rPr>
          <w:rFonts w:ascii="Arial" w:hAnsi="Arial" w:cs="Arial"/>
        </w:rPr>
        <w:t>encabezará</w:t>
      </w:r>
      <w:r w:rsidRPr="00A71B4C">
        <w:rPr>
          <w:rFonts w:ascii="Arial" w:hAnsi="Arial" w:cs="Arial"/>
        </w:rPr>
        <w:t xml:space="preserve"> la carpeta): será en base a lo indicado en el Pliego de Condiciones Particulares y Especificaciones Técnicas, la cual deberá estar firmada por el oferente o su representante legal.</w:t>
      </w:r>
    </w:p>
    <w:p w:rsidR="00D04D8D" w:rsidRPr="00A71B4C" w:rsidRDefault="00D04D8D" w:rsidP="00DC212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Pliego de Condiciones Generales, Pliego de Condiciones Particulares y Especificaciones Técnicas, incluidas las comunicaciones y o circulares, todo firmado y sellado por el oferente o su representante legal.</w:t>
      </w:r>
    </w:p>
    <w:p w:rsidR="00D04D8D" w:rsidRPr="00A71B4C" w:rsidRDefault="00D04D8D" w:rsidP="00DC212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Declarac</w:t>
      </w:r>
      <w:r w:rsidR="007C67D3">
        <w:rPr>
          <w:rFonts w:ascii="Arial" w:hAnsi="Arial" w:cs="Arial"/>
        </w:rPr>
        <w:t>ión del mantenimiento de oferta.</w:t>
      </w:r>
    </w:p>
    <w:p w:rsidR="00D04D8D" w:rsidRPr="00A71B4C" w:rsidRDefault="00D04D8D" w:rsidP="00DC212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Declaración jurada en la que conste que no se encuentra incurso en ninguna de las causales que lo inhabiliten para contratar con el estado.</w:t>
      </w:r>
    </w:p>
    <w:p w:rsidR="00D04D8D" w:rsidRPr="0048051B" w:rsidRDefault="00D04D8D" w:rsidP="00DC212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Nota fijando domicilio legal en la República Argentina (incluyendo número de teléfono y correo electrónico), a efectos de recibir cualquier comunicación relacionada con el concurso y aceptando la </w:t>
      </w:r>
      <w:r w:rsidRPr="0048051B">
        <w:rPr>
          <w:rFonts w:ascii="Arial" w:hAnsi="Arial" w:cs="Arial"/>
        </w:rPr>
        <w:t xml:space="preserve">jurisdicción de los </w:t>
      </w:r>
      <w:r w:rsidRPr="007223A4">
        <w:rPr>
          <w:rFonts w:ascii="Arial" w:hAnsi="Arial" w:cs="Arial"/>
        </w:rPr>
        <w:t>Tribunales Contencioso Administrativo Federales de la Ciudad Autónoma de Buenos Aires</w:t>
      </w:r>
      <w:r w:rsidRPr="0048051B">
        <w:rPr>
          <w:rFonts w:ascii="Arial" w:hAnsi="Arial" w:cs="Arial"/>
        </w:rPr>
        <w:t>.</w:t>
      </w:r>
    </w:p>
    <w:p w:rsidR="00D04D8D" w:rsidRPr="00A71B4C" w:rsidRDefault="00D04D8D" w:rsidP="00DC212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lastRenderedPageBreak/>
        <w:t>Constancia de inscripción en los Impuestos nacionales, provinciales y municipales, adjuntando además el pago de los tres últimos meses del impuesto al valor agregado y obligaciones previsionales. Deberán poseer Certificado Fiscal para Contratar con el Estado.</w:t>
      </w:r>
    </w:p>
    <w:p w:rsidR="00D04D8D" w:rsidRPr="00A71B4C" w:rsidRDefault="00D04D8D" w:rsidP="00DC212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Carta de presentación.</w:t>
      </w:r>
    </w:p>
    <w:p w:rsidR="00D04D8D" w:rsidRPr="00A71B4C" w:rsidRDefault="00D04D8D" w:rsidP="00DC212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Otros elementos que pueda requerir el Pliego de Condiciones Particulares y Especificaciones Técnicas.</w:t>
      </w:r>
    </w:p>
    <w:p w:rsidR="00D04D8D" w:rsidRPr="00A71B4C" w:rsidRDefault="00D04D8D" w:rsidP="00DC212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Antecedentes empresarios.</w:t>
      </w:r>
    </w:p>
    <w:p w:rsidR="00D04D8D" w:rsidRPr="00A71B4C" w:rsidRDefault="00D04D8D" w:rsidP="00CB37A6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Para personas físicas.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Nombre completo, fecha de nacimiento, nacionalidad profesión, domicilio real y constituido estado civil y número de documento de identidad.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Número de Código Único de Identificación Tributaria (C.U.I.T).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Información sobre los principales clientes del sector público y privado de los tres últimos años.</w:t>
      </w:r>
    </w:p>
    <w:p w:rsidR="00D04D8D" w:rsidRPr="00A71B4C" w:rsidRDefault="00D04D8D" w:rsidP="00CB37A6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Para personas jurídicas.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Razón social, domicilio legal y constituido, lugar y fecha de constitución y datos de inscripción registral.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Número de Código Único de Identificación Tributaria (C.U.I.T).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Contrato social y/o estatutos y documentos relativos a la constitución o condición jurídica del oferente.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Acta de nombramiento de autoridades del último ejercicio.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Constancia de inscripción en AFIP y API. Certificado Fiscal para contratar sin deuda (será verificado para la firma de la orden de compra correspondiente)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Información sobre los principales clientes del sector público y privado de los tres últimos años.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Referencias bancarias con las que opera.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Último Balance debidamente certificado por autoridad competente. </w:t>
      </w:r>
    </w:p>
    <w:p w:rsidR="00D04D8D" w:rsidRPr="00A71B4C" w:rsidRDefault="00D04D8D" w:rsidP="00CB37A6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Personas Jurídicas en formación.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Fecha y objeto del contrato constitutivo.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Número de expediente y fecha de la constancia de iniciación del trámite de inscripción en el registro correspondiente.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Información sobre los principales clientes del sector público y privado de los tres (3) últimos años.</w:t>
      </w:r>
    </w:p>
    <w:p w:rsidR="00D04D8D" w:rsidRPr="00A71B4C" w:rsidRDefault="00D04D8D" w:rsidP="00CB37A6">
      <w:pPr>
        <w:pStyle w:val="Prrafodelista"/>
        <w:numPr>
          <w:ilvl w:val="1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Agrupación de colaboración y uniones transitorias de empresas.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lastRenderedPageBreak/>
        <w:t>Identificación de las personas físicas o jurídicas que la integran.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Identificación de las personas físicas que integran cada empresa.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Fecha del compromiso de constitución y su objeto.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Fecha y número de inscripción registral o de la constancia de iniciación del trámite respectivo.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Declaración de solidaridad de sus integrantes por todas las obligaciones emergentes de la presentación de la oferta, de la adjudicación y de la ejecución del contrato.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Información sobre los principales clientes del sector público y privado, según el monto de facturación de los tres (3) últimos años.</w:t>
      </w:r>
    </w:p>
    <w:p w:rsidR="00D04D8D" w:rsidRPr="00A71B4C" w:rsidRDefault="00D04D8D" w:rsidP="00CB37A6">
      <w:pPr>
        <w:pStyle w:val="Prrafodelista"/>
        <w:numPr>
          <w:ilvl w:val="2"/>
          <w:numId w:val="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Los certificados, folletos, carpetas de referencias y antecedentes, y toda otra constancia para la verificación de las capacidades de los oferentes indicada en el Pliego de Condiciones Particulares y Especificaciones Técnicas.</w:t>
      </w:r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Los oferentes deberán presentar a la Comisión Evaluadora toda otra documentación adicional que les sea solicitada para una mejor valoración de su propuesta.</w:t>
      </w:r>
    </w:p>
    <w:p w:rsidR="00CB37A6" w:rsidRPr="00A71B4C" w:rsidRDefault="00CB37A6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CB37A6">
      <w:pPr>
        <w:pStyle w:val="Ttulo2"/>
      </w:pPr>
      <w:bookmarkStart w:id="14" w:name="_Toc104883687"/>
      <w:r w:rsidRPr="00A71B4C">
        <w:t xml:space="preserve">ARTÍCULO </w:t>
      </w:r>
      <w:r w:rsidR="00CB37A6" w:rsidRPr="00A71B4C">
        <w:t>N.º</w:t>
      </w:r>
      <w:r w:rsidRPr="00A71B4C">
        <w:t xml:space="preserve"> 13: MANTENIMIENTO DE LA OFERTA.</w:t>
      </w:r>
      <w:bookmarkEnd w:id="14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Los oferentes están obligados a mantener su oferta durante un lapso de </w:t>
      </w:r>
      <w:r w:rsidR="00D73395">
        <w:rPr>
          <w:rFonts w:ascii="Arial" w:hAnsi="Arial" w:cs="Arial"/>
        </w:rPr>
        <w:t>sesenta (6</w:t>
      </w:r>
      <w:r w:rsidR="00E50206">
        <w:rPr>
          <w:rFonts w:ascii="Arial" w:hAnsi="Arial" w:cs="Arial"/>
        </w:rPr>
        <w:t>0)</w:t>
      </w:r>
      <w:r w:rsidR="00E41B11">
        <w:rPr>
          <w:rFonts w:ascii="Arial" w:hAnsi="Arial" w:cs="Arial"/>
        </w:rPr>
        <w:t xml:space="preserve"> </w:t>
      </w:r>
      <w:r w:rsidR="001E7158" w:rsidRPr="00A71B4C">
        <w:rPr>
          <w:rFonts w:ascii="Arial" w:hAnsi="Arial" w:cs="Arial"/>
        </w:rPr>
        <w:t>días contados</w:t>
      </w:r>
      <w:r w:rsidRPr="00A71B4C">
        <w:rPr>
          <w:rFonts w:ascii="Arial" w:hAnsi="Arial" w:cs="Arial"/>
        </w:rPr>
        <w:t xml:space="preserve"> a partir de la fecha de apertura</w:t>
      </w:r>
      <w:r w:rsidR="0048051B">
        <w:rPr>
          <w:rFonts w:ascii="Arial" w:hAnsi="Arial" w:cs="Arial"/>
        </w:rPr>
        <w:t xml:space="preserve"> de sobres</w:t>
      </w:r>
      <w:r w:rsidRPr="00A71B4C">
        <w:rPr>
          <w:rFonts w:ascii="Arial" w:hAnsi="Arial" w:cs="Arial"/>
        </w:rPr>
        <w:t>.</w:t>
      </w:r>
    </w:p>
    <w:p w:rsidR="00CB37A6" w:rsidRPr="00A71B4C" w:rsidRDefault="00CB37A6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CB37A6">
      <w:pPr>
        <w:pStyle w:val="Ttulo2"/>
      </w:pPr>
      <w:bookmarkStart w:id="15" w:name="_Toc104883688"/>
      <w:r w:rsidRPr="00A71B4C">
        <w:t xml:space="preserve">ARTÍCULO </w:t>
      </w:r>
      <w:r w:rsidR="00CB37A6" w:rsidRPr="00A71B4C">
        <w:t>N.º</w:t>
      </w:r>
      <w:r w:rsidRPr="00A71B4C">
        <w:t xml:space="preserve"> 14: GARANTÍA DE MANTENIMIENTO DE OFERTA.</w:t>
      </w:r>
      <w:bookmarkEnd w:id="15"/>
    </w:p>
    <w:p w:rsidR="00CB37A6" w:rsidRPr="00A71B4C" w:rsidRDefault="00843C20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NO CORRESPONDE.</w:t>
      </w:r>
    </w:p>
    <w:p w:rsidR="00D04D8D" w:rsidRPr="00A71B4C" w:rsidRDefault="00D04D8D" w:rsidP="00CB37A6">
      <w:pPr>
        <w:pStyle w:val="Ttulo2"/>
      </w:pPr>
      <w:bookmarkStart w:id="16" w:name="_Toc104883689"/>
      <w:r w:rsidRPr="00A71B4C">
        <w:t xml:space="preserve">ARTÍCULO </w:t>
      </w:r>
      <w:r w:rsidR="00CB37A6" w:rsidRPr="00A71B4C">
        <w:t>N.º</w:t>
      </w:r>
      <w:r w:rsidRPr="00A71B4C">
        <w:t xml:space="preserve"> 15: FORMA DE CONSTITUCIÓN.</w:t>
      </w:r>
      <w:bookmarkEnd w:id="16"/>
    </w:p>
    <w:p w:rsidR="00B7483A" w:rsidRPr="00A71B4C" w:rsidRDefault="00843C20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NO CORRESPONDE</w:t>
      </w:r>
    </w:p>
    <w:p w:rsidR="00D04D8D" w:rsidRPr="00A71B4C" w:rsidRDefault="00D04D8D" w:rsidP="00B7483A">
      <w:pPr>
        <w:pStyle w:val="Ttulo2"/>
      </w:pPr>
      <w:bookmarkStart w:id="17" w:name="_Toc104883690"/>
      <w:r w:rsidRPr="00A71B4C">
        <w:t xml:space="preserve">ARTÍCULO </w:t>
      </w:r>
      <w:r w:rsidR="00B7483A" w:rsidRPr="00A71B4C">
        <w:t>N.º</w:t>
      </w:r>
      <w:r w:rsidRPr="00A71B4C">
        <w:t xml:space="preserve"> 16: DEVOLUCIÓN DE LA GARANTÍA DE OFERTA.</w:t>
      </w:r>
      <w:bookmarkEnd w:id="17"/>
    </w:p>
    <w:p w:rsidR="00B7483A" w:rsidRPr="00A71B4C" w:rsidRDefault="00843C20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NO CORRESPONDE</w:t>
      </w:r>
    </w:p>
    <w:p w:rsidR="00D04D8D" w:rsidRPr="00A71B4C" w:rsidRDefault="00D04D8D" w:rsidP="00B7483A">
      <w:pPr>
        <w:pStyle w:val="Ttulo2"/>
      </w:pPr>
      <w:bookmarkStart w:id="18" w:name="_Toc104883691"/>
      <w:r w:rsidRPr="00A71B4C">
        <w:t xml:space="preserve">ARTÍCULO </w:t>
      </w:r>
      <w:r w:rsidR="00B7483A" w:rsidRPr="00A71B4C">
        <w:t>N.º</w:t>
      </w:r>
      <w:r w:rsidRPr="00A71B4C">
        <w:t xml:space="preserve"> 17: PÉRDIDA DE LA GARANTÍA DE OFERTA.</w:t>
      </w:r>
      <w:bookmarkEnd w:id="18"/>
    </w:p>
    <w:p w:rsidR="00B7483A" w:rsidRPr="00A71B4C" w:rsidRDefault="00843C20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lastRenderedPageBreak/>
        <w:t>NO CORRESPONDE</w:t>
      </w:r>
    </w:p>
    <w:p w:rsidR="00D04D8D" w:rsidRPr="00A71B4C" w:rsidRDefault="00D04D8D" w:rsidP="00BD3178">
      <w:pPr>
        <w:pStyle w:val="Ttulo2"/>
      </w:pPr>
      <w:bookmarkStart w:id="19" w:name="_Toc104883692"/>
      <w:r w:rsidRPr="00A71B4C">
        <w:t xml:space="preserve">ARTÍCULO </w:t>
      </w:r>
      <w:r w:rsidR="00BD3178" w:rsidRPr="00A71B4C">
        <w:t>N.º</w:t>
      </w:r>
      <w:r w:rsidRPr="00A71B4C">
        <w:t xml:space="preserve"> 18: APERTURA DE OFERTAS.</w:t>
      </w:r>
      <w:bookmarkEnd w:id="19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En el día y hora fijados en el Pliego de Condiciones Particulares y Especificaciones Técnicas o el día hábil siguiente, si el designado resultara no laborable, se procederá a abrir las ofertas en presencia de funcionarios de la dependencia y de todos aquellos que desearan presenciarlo. A partir de la hora fijada como término para la recepción de las ofertas no se recibirán otras, aun cuando el acto de apertura no se haya iniciado. </w:t>
      </w:r>
      <w:r w:rsidR="005F7F9B">
        <w:rPr>
          <w:rFonts w:ascii="Arial" w:hAnsi="Arial" w:cs="Arial"/>
        </w:rPr>
        <w:t>El acto de apertura se realizará online. Los datos de conexión se informarán vía correo electrónico a los oferentes que enviaron los pliegos y que cumplan con los requisitos correspondientes.</w:t>
      </w:r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Las ofertas que lleguen por correo con posterioridad a la fecha y hora de apertura, aunque el matasello u otro elemento indiquen que se hubieran despachado a tiempo, no se tendrán en cuenta para la licitación.</w:t>
      </w:r>
    </w:p>
    <w:p w:rsidR="00D04D8D" w:rsidRPr="00A71B4C" w:rsidRDefault="00D04D8D" w:rsidP="006C1372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Las ofertas presentadas se considerarán propiedad exclusiva de</w:t>
      </w:r>
      <w:r w:rsidR="000550EC">
        <w:rPr>
          <w:rFonts w:ascii="Arial" w:hAnsi="Arial" w:cs="Arial"/>
        </w:rPr>
        <w:t xml:space="preserve"> la</w:t>
      </w:r>
      <w:r w:rsidR="00E41B11">
        <w:rPr>
          <w:rFonts w:ascii="Arial" w:hAnsi="Arial" w:cs="Arial"/>
        </w:rPr>
        <w:t xml:space="preserve"> </w:t>
      </w:r>
      <w:r w:rsidR="000550EC">
        <w:rPr>
          <w:rFonts w:ascii="Arial" w:hAnsi="Arial" w:cs="Arial"/>
        </w:rPr>
        <w:t>institución</w:t>
      </w:r>
      <w:r w:rsidRPr="00A71B4C">
        <w:rPr>
          <w:rFonts w:ascii="Arial" w:hAnsi="Arial" w:cs="Arial"/>
        </w:rPr>
        <w:t xml:space="preserve"> y no serán</w:t>
      </w:r>
      <w:r w:rsidR="00E41B11">
        <w:rPr>
          <w:rFonts w:ascii="Arial" w:hAnsi="Arial" w:cs="Arial"/>
        </w:rPr>
        <w:t xml:space="preserve"> </w:t>
      </w:r>
      <w:r w:rsidRPr="00A71B4C">
        <w:rPr>
          <w:rFonts w:ascii="Arial" w:hAnsi="Arial" w:cs="Arial"/>
        </w:rPr>
        <w:t>devueltas a los oferentes, salvo el caso de arribo tardío.</w:t>
      </w:r>
    </w:p>
    <w:p w:rsidR="00BD3178" w:rsidRPr="00A71B4C" w:rsidRDefault="00BD3178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BD3178">
      <w:pPr>
        <w:pStyle w:val="Ttulo2"/>
      </w:pPr>
      <w:bookmarkStart w:id="20" w:name="_Toc104883693"/>
      <w:r w:rsidRPr="00A71B4C">
        <w:t xml:space="preserve">ARTÍCULO </w:t>
      </w:r>
      <w:r w:rsidR="00BD3178" w:rsidRPr="00A71B4C">
        <w:t>N.º</w:t>
      </w:r>
      <w:r w:rsidRPr="00A71B4C">
        <w:t xml:space="preserve"> 19: ACTA DE APERTURA.</w:t>
      </w:r>
      <w:bookmarkEnd w:id="20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De todo lo actuado se labrará un acta de apertura en la que constará:</w:t>
      </w:r>
    </w:p>
    <w:p w:rsidR="00D04D8D" w:rsidRPr="00A71B4C" w:rsidRDefault="00D04D8D" w:rsidP="00BD317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Nómina de las propuestas presentadas, numeradas por orden de apertura.</w:t>
      </w:r>
    </w:p>
    <w:p w:rsidR="00D04D8D" w:rsidRPr="00A71B4C" w:rsidRDefault="00D04D8D" w:rsidP="00BD317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Observaciones efectuadas por los presentes.</w:t>
      </w:r>
    </w:p>
    <w:p w:rsidR="00D04D8D" w:rsidRPr="00A71B4C" w:rsidRDefault="00D04D8D" w:rsidP="00BD3178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Toda otra información que se estime de interés.</w:t>
      </w:r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Todos los proponentes podrán efectuar observaciones ajustadas estrictamente a los hechos del acto de apertura. Se efectuarán en forma verbal y no tendrán el carácter de impugnación formal, sólo serán tomadas en cuenta para un mejor análisis de las ofertas.</w:t>
      </w:r>
    </w:p>
    <w:p w:rsidR="00D04D8D" w:rsidRDefault="00D04D8D" w:rsidP="001D6116">
      <w:pPr>
        <w:spacing w:line="360" w:lineRule="auto"/>
        <w:ind w:left="708" w:hanging="708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El Acta será firmada por los funcionarios y por los oferentes presentes que desearan hacerlo. Los originales de las ofertas serán firmados por los funcionarios que presidan el acto.</w:t>
      </w:r>
    </w:p>
    <w:p w:rsidR="00F843F1" w:rsidRDefault="00F843F1" w:rsidP="00BD3178">
      <w:pPr>
        <w:pStyle w:val="Ttulo2"/>
      </w:pPr>
      <w:bookmarkStart w:id="21" w:name="_Toc104883694"/>
    </w:p>
    <w:p w:rsidR="00F843F1" w:rsidRDefault="00F843F1" w:rsidP="00BD3178">
      <w:pPr>
        <w:pStyle w:val="Ttulo2"/>
      </w:pPr>
    </w:p>
    <w:p w:rsidR="00D04D8D" w:rsidRPr="00A71B4C" w:rsidRDefault="00D04D8D" w:rsidP="00BD3178">
      <w:pPr>
        <w:pStyle w:val="Ttulo2"/>
      </w:pPr>
      <w:r w:rsidRPr="00A71B4C">
        <w:lastRenderedPageBreak/>
        <w:t xml:space="preserve">ARTÍCULO </w:t>
      </w:r>
      <w:r w:rsidR="00BD3178" w:rsidRPr="00A71B4C">
        <w:t>N.º</w:t>
      </w:r>
      <w:r w:rsidRPr="00A71B4C">
        <w:t xml:space="preserve"> 20: VISTA DE LOS ACTUADOS.</w:t>
      </w:r>
      <w:bookmarkEnd w:id="21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Los oferentes podrán tomar vista de los actuados por el término de dos (2) días posteriores al acto de apertura.</w:t>
      </w:r>
    </w:p>
    <w:p w:rsidR="00BD3178" w:rsidRPr="00A71B4C" w:rsidRDefault="00BD3178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BD3178">
      <w:pPr>
        <w:pStyle w:val="Ttulo2"/>
      </w:pPr>
      <w:bookmarkStart w:id="22" w:name="_Toc104883695"/>
      <w:r w:rsidRPr="00A71B4C">
        <w:t xml:space="preserve">ARTÍCULO </w:t>
      </w:r>
      <w:r w:rsidR="00BD3178" w:rsidRPr="00A71B4C">
        <w:t>N.º</w:t>
      </w:r>
      <w:r w:rsidRPr="00A71B4C">
        <w:t xml:space="preserve"> 21: ANÁLISIS DE LAS OFERTAS.</w:t>
      </w:r>
      <w:bookmarkEnd w:id="22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No serán desestimadas las ofertas que contengan defectos de forma u otras imperfecciones que no impidan su análisis y comparación. Siempre que dichos defectos no vulneren el principio de igualdad entre los oferentes y sean subsanados a pedido de</w:t>
      </w:r>
      <w:r w:rsidR="00E41B11">
        <w:rPr>
          <w:rFonts w:ascii="Arial" w:hAnsi="Arial" w:cs="Arial"/>
        </w:rPr>
        <w:t xml:space="preserve"> </w:t>
      </w:r>
      <w:r w:rsidRPr="00A71B4C">
        <w:rPr>
          <w:rFonts w:ascii="Arial" w:hAnsi="Arial" w:cs="Arial"/>
        </w:rPr>
        <w:t>l</w:t>
      </w:r>
      <w:r w:rsidR="000550EC">
        <w:rPr>
          <w:rFonts w:ascii="Arial" w:hAnsi="Arial" w:cs="Arial"/>
        </w:rPr>
        <w:t>a</w:t>
      </w:r>
      <w:r w:rsidR="00E41B11">
        <w:rPr>
          <w:rFonts w:ascii="Arial" w:hAnsi="Arial" w:cs="Arial"/>
        </w:rPr>
        <w:t xml:space="preserve"> </w:t>
      </w:r>
      <w:r w:rsidR="000550EC">
        <w:rPr>
          <w:rFonts w:ascii="Arial" w:hAnsi="Arial" w:cs="Arial"/>
        </w:rPr>
        <w:t>institución</w:t>
      </w:r>
      <w:r w:rsidRPr="00A71B4C">
        <w:rPr>
          <w:rFonts w:ascii="Arial" w:hAnsi="Arial" w:cs="Arial"/>
        </w:rPr>
        <w:t>. A tal fin el interesado será intimado por la Comisión Evaluadora a subsanarlos, tal cual lo indicado en el Art. 24.</w:t>
      </w:r>
    </w:p>
    <w:p w:rsidR="00BD3178" w:rsidRPr="00A71B4C" w:rsidRDefault="00BD3178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BD3178">
      <w:pPr>
        <w:pStyle w:val="Ttulo2"/>
      </w:pPr>
      <w:bookmarkStart w:id="23" w:name="_Toc104883696"/>
      <w:r w:rsidRPr="00A71B4C">
        <w:t xml:space="preserve">ARTÍCULO </w:t>
      </w:r>
      <w:r w:rsidR="00BD3178" w:rsidRPr="00A71B4C">
        <w:t>N.º</w:t>
      </w:r>
      <w:r w:rsidRPr="00A71B4C">
        <w:t xml:space="preserve"> 22: INADMISIBILIDAD DE LAS OFERTAS.</w:t>
      </w:r>
      <w:bookmarkEnd w:id="23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 oferta será declarada inadmisible, en los siguientes supuestos:</w:t>
      </w:r>
    </w:p>
    <w:p w:rsidR="00D04D8D" w:rsidRPr="00A71B4C" w:rsidRDefault="00D04D8D" w:rsidP="00BD3178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Que careciera de </w:t>
      </w:r>
      <w:r w:rsidR="007C67D3">
        <w:rPr>
          <w:rFonts w:ascii="Arial" w:hAnsi="Arial" w:cs="Arial"/>
        </w:rPr>
        <w:t xml:space="preserve">la declaración de </w:t>
      </w:r>
      <w:r w:rsidRPr="00A71B4C">
        <w:rPr>
          <w:rFonts w:ascii="Arial" w:hAnsi="Arial" w:cs="Arial"/>
        </w:rPr>
        <w:t>mantenimiento de oferta.</w:t>
      </w:r>
    </w:p>
    <w:p w:rsidR="00D04D8D" w:rsidRPr="00A71B4C" w:rsidRDefault="00D04D8D" w:rsidP="00BD3178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Que estuviera escrita en lápiz.</w:t>
      </w:r>
    </w:p>
    <w:p w:rsidR="00D04D8D" w:rsidRPr="00A71B4C" w:rsidRDefault="00D04D8D" w:rsidP="00BD3178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Que no estuviere firmada por el oferente o representante legal.</w:t>
      </w:r>
    </w:p>
    <w:p w:rsidR="00D04D8D" w:rsidRPr="00A71B4C" w:rsidRDefault="00D04D8D" w:rsidP="00BD3178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Que fuera efectuada por personas inhabilitadas para contratar con el estado nacional.</w:t>
      </w:r>
    </w:p>
    <w:p w:rsidR="00D04D8D" w:rsidRPr="00A71B4C" w:rsidRDefault="00D04D8D" w:rsidP="00BD3178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Que tuviere raspaduras, enmiendas o interlíneas en el precio, cantidad, plazo de entrega o alguna otra parte que hiciere a la esencia del contrato y no estuvieren debidamente salvadas.</w:t>
      </w:r>
    </w:p>
    <w:p w:rsidR="00D04D8D" w:rsidRPr="00A71B4C" w:rsidRDefault="00D04D8D" w:rsidP="00BD3178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Que contuviere condicionamientos.</w:t>
      </w:r>
    </w:p>
    <w:p w:rsidR="00BD3178" w:rsidRPr="00A71B4C" w:rsidRDefault="00BD3178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BD3178">
      <w:pPr>
        <w:pStyle w:val="Ttulo2"/>
      </w:pPr>
      <w:bookmarkStart w:id="24" w:name="_Toc104883697"/>
      <w:r w:rsidRPr="00A71B4C">
        <w:t xml:space="preserve">ARTÍCULO </w:t>
      </w:r>
      <w:r w:rsidR="00BD3178" w:rsidRPr="00A71B4C">
        <w:t>N.º</w:t>
      </w:r>
      <w:r w:rsidRPr="00A71B4C">
        <w:t xml:space="preserve"> 23: ACEPTACIÓN DE LAS OFERTAS.</w:t>
      </w:r>
      <w:bookmarkEnd w:id="24"/>
    </w:p>
    <w:p w:rsidR="00D04D8D" w:rsidRPr="00A71B4C" w:rsidRDefault="000550EC" w:rsidP="00D04D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institución</w:t>
      </w:r>
      <w:r w:rsidR="00D04D8D" w:rsidRPr="00A71B4C">
        <w:rPr>
          <w:rFonts w:ascii="Arial" w:hAnsi="Arial" w:cs="Arial"/>
        </w:rPr>
        <w:t xml:space="preserve"> puede rechazar la totalidad de las ofertas en caso de considerarlas inconvenientes, sin que esto otorgue derecho a reclamo de ningún tipo de parte de los oferentes</w:t>
      </w:r>
      <w:r w:rsidR="00D43231">
        <w:rPr>
          <w:rFonts w:ascii="Arial" w:hAnsi="Arial" w:cs="Arial"/>
        </w:rPr>
        <w:t>.</w:t>
      </w:r>
      <w:r w:rsidR="00D04D8D" w:rsidRPr="00A71B4C">
        <w:rPr>
          <w:rFonts w:ascii="Arial" w:hAnsi="Arial" w:cs="Arial"/>
        </w:rPr>
        <w:t xml:space="preserve"> Asimismo, podrá disponer la nulidad de lo actuado en caso de existir vicios que así lo determinen.</w:t>
      </w:r>
    </w:p>
    <w:p w:rsidR="00D04D8D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 presentación de una sola oferta no obliga ni impide la adjudicación.</w:t>
      </w:r>
    </w:p>
    <w:p w:rsidR="007B1B10" w:rsidRPr="00A71B4C" w:rsidRDefault="007B1B10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BD3178">
      <w:pPr>
        <w:pStyle w:val="Ttulo2"/>
      </w:pPr>
      <w:bookmarkStart w:id="25" w:name="_Toc104883698"/>
      <w:r w:rsidRPr="00A71B4C">
        <w:lastRenderedPageBreak/>
        <w:t xml:space="preserve">ARTÍCULO </w:t>
      </w:r>
      <w:r w:rsidR="00BD3178" w:rsidRPr="00A71B4C">
        <w:t>N.º</w:t>
      </w:r>
      <w:r w:rsidRPr="00A71B4C">
        <w:t xml:space="preserve"> 24: EVALUACIÓN DE LAS OFERTAS.</w:t>
      </w:r>
      <w:bookmarkEnd w:id="25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 Comisión Evaluadora, antes de proceder a la evaluación minuciosa de las ofertas determinará si cada una de ellas:</w:t>
      </w:r>
    </w:p>
    <w:p w:rsidR="00D04D8D" w:rsidRPr="00A71B4C" w:rsidRDefault="00D04D8D" w:rsidP="0072632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Cumple con los requisitos de elegibilidad exigidos por el pliego de condiciones.</w:t>
      </w:r>
    </w:p>
    <w:p w:rsidR="00D04D8D" w:rsidRPr="00A71B4C" w:rsidRDefault="00D04D8D" w:rsidP="0072632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Ha sido debidamente firmada.</w:t>
      </w:r>
    </w:p>
    <w:p w:rsidR="00D04D8D" w:rsidRPr="00A71B4C" w:rsidRDefault="00D04D8D" w:rsidP="00726327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Se ajusta sustancialmente a las condiciones del concurso, entendiendo por tal que esté de acuerdo con todos los plazos, condiciones y especificaciones de los documentos del concurso, sin ninguna desviación o reserva importante.</w:t>
      </w:r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 comisión evaluadora procederá al examen de las ofertas y podrá requerir de los oferentes cualquier información complementaria o subsanación de defectos formales que considere necesarios. La solicitud de aclarar y la respuesta se harán de un modo fehaciente debiendo los oferentes dar cumplimien</w:t>
      </w:r>
      <w:r w:rsidR="005C119A" w:rsidRPr="00A71B4C">
        <w:rPr>
          <w:rFonts w:ascii="Arial" w:hAnsi="Arial" w:cs="Arial"/>
        </w:rPr>
        <w:t>to al pedido dentro de los dos (2</w:t>
      </w:r>
      <w:r w:rsidRPr="00A71B4C">
        <w:rPr>
          <w:rFonts w:ascii="Arial" w:hAnsi="Arial" w:cs="Arial"/>
        </w:rPr>
        <w:t>) días hábiles de notificados. Si no cumplieran en término se dará por retirada la oferta</w:t>
      </w:r>
      <w:r w:rsidR="00D32730">
        <w:rPr>
          <w:rFonts w:ascii="Arial" w:hAnsi="Arial" w:cs="Arial"/>
        </w:rPr>
        <w:t>.</w:t>
      </w:r>
    </w:p>
    <w:p w:rsidR="00B17EF6" w:rsidRPr="00A71B4C" w:rsidRDefault="00B17EF6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B17EF6">
      <w:pPr>
        <w:pStyle w:val="Ttulo2"/>
      </w:pPr>
      <w:bookmarkStart w:id="26" w:name="_Toc104883699"/>
      <w:r w:rsidRPr="00A71B4C">
        <w:t xml:space="preserve">ARTÍCULO </w:t>
      </w:r>
      <w:r w:rsidR="00B17EF6" w:rsidRPr="00A71B4C">
        <w:t>N.º</w:t>
      </w:r>
      <w:r w:rsidRPr="00A71B4C">
        <w:t xml:space="preserve"> 25: DICTAMEN.</w:t>
      </w:r>
      <w:bookmarkEnd w:id="26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Transcurrido el plazo para la toma de vistas, indicado en el Art. 20, los actuados pasarán a la Comisió</w:t>
      </w:r>
      <w:r w:rsidR="005C119A" w:rsidRPr="00A71B4C">
        <w:rPr>
          <w:rFonts w:ascii="Arial" w:hAnsi="Arial" w:cs="Arial"/>
        </w:rPr>
        <w:t xml:space="preserve">n Evaluadora, la que tendrá </w:t>
      </w:r>
      <w:r w:rsidR="007223A4">
        <w:rPr>
          <w:rFonts w:ascii="Arial" w:hAnsi="Arial" w:cs="Arial"/>
        </w:rPr>
        <w:t>cuatro</w:t>
      </w:r>
      <w:r w:rsidR="00E41B11">
        <w:rPr>
          <w:rFonts w:ascii="Arial" w:hAnsi="Arial" w:cs="Arial"/>
        </w:rPr>
        <w:t xml:space="preserve"> </w:t>
      </w:r>
      <w:r w:rsidR="005C119A" w:rsidRPr="00A71B4C">
        <w:rPr>
          <w:rFonts w:ascii="Arial" w:hAnsi="Arial" w:cs="Arial"/>
        </w:rPr>
        <w:t>(</w:t>
      </w:r>
      <w:r w:rsidR="00E41B11">
        <w:rPr>
          <w:rFonts w:ascii="Arial" w:hAnsi="Arial" w:cs="Arial"/>
        </w:rPr>
        <w:t>7</w:t>
      </w:r>
      <w:r w:rsidRPr="00A71B4C">
        <w:rPr>
          <w:rFonts w:ascii="Arial" w:hAnsi="Arial" w:cs="Arial"/>
        </w:rPr>
        <w:t>) días hábiles para emitir dictamen. El presente plazo podrá extenderse por otro lapso igual, siempre que la autoridad competente para adjudicar lo autorice expresamente.</w:t>
      </w:r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 selección de la oferta más conveniente se realizará mediante la comparación de todos los elementos de la ofer</w:t>
      </w:r>
      <w:r w:rsidR="00D32730">
        <w:rPr>
          <w:rFonts w:ascii="Arial" w:hAnsi="Arial" w:cs="Arial"/>
        </w:rPr>
        <w:t xml:space="preserve">ta, precio, calidad, idoneidad </w:t>
      </w:r>
      <w:r w:rsidRPr="00A71B4C">
        <w:rPr>
          <w:rFonts w:ascii="Arial" w:hAnsi="Arial" w:cs="Arial"/>
        </w:rPr>
        <w:t>y de acuerdo a las estipulaciones de los Términos de Referencia y Especificaciones.</w:t>
      </w:r>
    </w:p>
    <w:p w:rsidR="00B17EF6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El Dictamen de Evaluación será notificado en forma fehaciente a todos los oferentes dentro de los tres (3) días de emitido.</w:t>
      </w:r>
    </w:p>
    <w:p w:rsidR="00B17EF6" w:rsidRPr="00A71B4C" w:rsidRDefault="00B17EF6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B17EF6">
      <w:pPr>
        <w:pStyle w:val="Ttulo2"/>
      </w:pPr>
      <w:bookmarkStart w:id="27" w:name="_Toc104883700"/>
      <w:r w:rsidRPr="00A71B4C">
        <w:t xml:space="preserve">ARTÍCULO </w:t>
      </w:r>
      <w:r w:rsidR="00B17EF6" w:rsidRPr="00A71B4C">
        <w:t>N.º</w:t>
      </w:r>
      <w:r w:rsidRPr="00A71B4C">
        <w:t xml:space="preserve"> 26: IMPUGNACIÓN DEL DICTAMEN.</w:t>
      </w:r>
      <w:bookmarkEnd w:id="27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Los oferentes podrán impugnar el dictamen dentro de los </w:t>
      </w:r>
      <w:r w:rsidR="007223A4">
        <w:rPr>
          <w:rFonts w:ascii="Arial" w:hAnsi="Arial" w:cs="Arial"/>
        </w:rPr>
        <w:t>tres</w:t>
      </w:r>
      <w:r w:rsidR="008723D4">
        <w:rPr>
          <w:rFonts w:ascii="Arial" w:hAnsi="Arial" w:cs="Arial"/>
        </w:rPr>
        <w:t xml:space="preserve"> </w:t>
      </w:r>
      <w:r w:rsidRPr="00A71B4C">
        <w:rPr>
          <w:rFonts w:ascii="Arial" w:hAnsi="Arial" w:cs="Arial"/>
        </w:rPr>
        <w:t>días hábiles de notificados. Durante ese término el expediente se pondrá a disposición de los oferentes para su vista.</w:t>
      </w:r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lastRenderedPageBreak/>
        <w:t xml:space="preserve">Junto con el escrito de reclamo y como requisito para la consideración del mismo deberá acompañar una garantía constituida a favor </w:t>
      </w:r>
      <w:r w:rsidR="000550EC">
        <w:rPr>
          <w:rFonts w:ascii="Arial" w:hAnsi="Arial" w:cs="Arial"/>
        </w:rPr>
        <w:t>de la institución</w:t>
      </w:r>
      <w:r w:rsidRPr="00A71B4C">
        <w:rPr>
          <w:rFonts w:ascii="Arial" w:hAnsi="Arial" w:cs="Arial"/>
        </w:rPr>
        <w:t xml:space="preserve"> equivalente al dos por ciento (2%) de la oferta presentada.</w:t>
      </w:r>
      <w:r w:rsidR="00A82E79">
        <w:rPr>
          <w:rFonts w:ascii="Arial" w:hAnsi="Arial" w:cs="Arial"/>
        </w:rPr>
        <w:t xml:space="preserve"> </w:t>
      </w:r>
      <w:r w:rsidRPr="00A71B4C">
        <w:rPr>
          <w:rFonts w:ascii="Arial" w:hAnsi="Arial" w:cs="Arial"/>
        </w:rPr>
        <w:t>La garantía será por tiempo indeterminado y se perderá de pleno derecho y sin necesidad de trámite alguno en el caso de que la presentación fuere denegada.</w:t>
      </w:r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Las impugnaciones presentadas serán resueltas en el mismo acto de adjudicación.</w:t>
      </w:r>
    </w:p>
    <w:p w:rsidR="00B17EF6" w:rsidRPr="00A71B4C" w:rsidRDefault="00B17EF6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B17EF6">
      <w:pPr>
        <w:pStyle w:val="Ttulo2"/>
      </w:pPr>
      <w:bookmarkStart w:id="28" w:name="_Toc104883701"/>
      <w:r w:rsidRPr="00A71B4C">
        <w:t xml:space="preserve">ARTÍCULO </w:t>
      </w:r>
      <w:r w:rsidR="00B17EF6" w:rsidRPr="00A71B4C">
        <w:t>N.º</w:t>
      </w:r>
      <w:r w:rsidRPr="00A71B4C">
        <w:t xml:space="preserve"> 27: ADJUDICACIÓN </w:t>
      </w:r>
      <w:r w:rsidR="00843C20" w:rsidRPr="00A71B4C">
        <w:t>DE LA LICITACION</w:t>
      </w:r>
      <w:r w:rsidRPr="00A71B4C">
        <w:t>.</w:t>
      </w:r>
      <w:bookmarkEnd w:id="28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Una vez vencido el plazo para presentar impugnaciones al Dictamen de Evaluación, se decidirá la adjudicación, la que será notificada al adjudicatario y al resto de los oferentes dentro de los tres (3) días del dictado de la misma.</w:t>
      </w:r>
    </w:p>
    <w:p w:rsidR="00B17EF6" w:rsidRPr="00A71B4C" w:rsidRDefault="00B17EF6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B17EF6">
      <w:pPr>
        <w:pStyle w:val="Ttulo2"/>
      </w:pPr>
      <w:bookmarkStart w:id="29" w:name="_Toc104883702"/>
      <w:r w:rsidRPr="00A71B4C">
        <w:t xml:space="preserve">ARTÍCULO </w:t>
      </w:r>
      <w:r w:rsidR="00B17EF6" w:rsidRPr="00A71B4C">
        <w:t>N.º</w:t>
      </w:r>
      <w:r w:rsidRPr="00A71B4C">
        <w:t xml:space="preserve"> 28: ORDEN DE COMPRA –PERFECCIONAMIENTO DEL CONTRATO.</w:t>
      </w:r>
      <w:bookmarkEnd w:id="29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Dentro del plazo del mantenimiento de oferta se procederá a emitir la respectiva Orden de Compra, perfeccionándose el contrato al producirse la notificación de aquélla al adjudicatario.</w:t>
      </w:r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Si el adjudicatario rechazara la orden de compra dentro de los tres (3) días de recibida la notificación o no constituyera la garantía de cumplimiento del contrato dentro del plazo fijado para ellos, </w:t>
      </w:r>
      <w:r w:rsidR="000550EC">
        <w:rPr>
          <w:rFonts w:ascii="Arial" w:hAnsi="Arial" w:cs="Arial"/>
        </w:rPr>
        <w:t>la institución</w:t>
      </w:r>
      <w:r w:rsidRPr="00A71B4C">
        <w:rPr>
          <w:rFonts w:ascii="Arial" w:hAnsi="Arial" w:cs="Arial"/>
        </w:rPr>
        <w:t xml:space="preserve"> podrá adjudicar la licitación al oferente que le siga en orden de mérito sin perjuicio de la aplicación de las penalidades respectivas.</w:t>
      </w:r>
    </w:p>
    <w:p w:rsidR="00F403E3" w:rsidRPr="00A71B4C" w:rsidRDefault="00F403E3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F403E3">
      <w:pPr>
        <w:pStyle w:val="Ttulo2"/>
      </w:pPr>
      <w:bookmarkStart w:id="30" w:name="_Toc104883703"/>
      <w:r w:rsidRPr="00A71B4C">
        <w:t xml:space="preserve">ARTÍCULO </w:t>
      </w:r>
      <w:r w:rsidR="00F403E3" w:rsidRPr="00A71B4C">
        <w:t>N.º</w:t>
      </w:r>
      <w:r w:rsidRPr="00A71B4C">
        <w:t xml:space="preserve"> 29: GARANTÍA DE CUMPLIMIENTO DEL CONTRATO.</w:t>
      </w:r>
      <w:bookmarkEnd w:id="30"/>
    </w:p>
    <w:p w:rsidR="00D04D8D" w:rsidRPr="00A71B4C" w:rsidRDefault="000654A9" w:rsidP="00D04D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NO SE SOLICITA.</w:t>
      </w:r>
    </w:p>
    <w:p w:rsidR="00F403E3" w:rsidRPr="00A71B4C" w:rsidRDefault="00F403E3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F403E3">
      <w:pPr>
        <w:pStyle w:val="Ttulo2"/>
      </w:pPr>
      <w:bookmarkStart w:id="31" w:name="_Toc104883704"/>
      <w:r w:rsidRPr="00A71B4C">
        <w:t xml:space="preserve">ARTÍCULO </w:t>
      </w:r>
      <w:r w:rsidR="00F403E3" w:rsidRPr="00A71B4C">
        <w:t>N.º</w:t>
      </w:r>
      <w:r w:rsidRPr="00A71B4C">
        <w:t xml:space="preserve"> 30: DEVOLUCIÓN DE LA GARANTÍA DE CUMPLIMIENTO DEL CONTRATO.</w:t>
      </w:r>
      <w:bookmarkEnd w:id="31"/>
    </w:p>
    <w:p w:rsidR="00FA1C48" w:rsidRDefault="000654A9" w:rsidP="00D04D8D">
      <w:pPr>
        <w:spacing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 SE SOLICITA.</w:t>
      </w:r>
    </w:p>
    <w:p w:rsidR="00F14390" w:rsidRPr="00A71B4C" w:rsidRDefault="00F14390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A95B10">
      <w:pPr>
        <w:pStyle w:val="Ttulo2"/>
      </w:pPr>
      <w:bookmarkStart w:id="32" w:name="_Toc104883705"/>
      <w:r w:rsidRPr="00A71B4C">
        <w:lastRenderedPageBreak/>
        <w:t xml:space="preserve">ARTÍCULO </w:t>
      </w:r>
      <w:r w:rsidR="00FA1C48" w:rsidRPr="00A71B4C">
        <w:t>N.º</w:t>
      </w:r>
      <w:r w:rsidRPr="00A71B4C">
        <w:t xml:space="preserve"> 31: PLAZO Y LUGAR DE ENTREGA. RECEPCIÓN.</w:t>
      </w:r>
      <w:bookmarkEnd w:id="32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De acuerdo a lo indicado en el Pliego de Condiciones Particulares y Especificaciones Técnicas.</w:t>
      </w:r>
    </w:p>
    <w:p w:rsidR="00A95B10" w:rsidRPr="00A71B4C" w:rsidRDefault="00A95B10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A95B10">
      <w:pPr>
        <w:pStyle w:val="Ttulo2"/>
      </w:pPr>
      <w:bookmarkStart w:id="33" w:name="_Toc104883706"/>
      <w:r w:rsidRPr="00A71B4C">
        <w:t xml:space="preserve">ARTÍCULO </w:t>
      </w:r>
      <w:r w:rsidR="00A95B10" w:rsidRPr="00A71B4C">
        <w:t>N.º</w:t>
      </w:r>
      <w:r w:rsidRPr="00A71B4C">
        <w:t xml:space="preserve"> 32: FORMA DE PAGO. MONEDA.</w:t>
      </w:r>
      <w:bookmarkEnd w:id="33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Se hará de acuerdo a lo indicado en el Pliego de Condiciones Particulares y Especificaciones Técnicas.</w:t>
      </w:r>
    </w:p>
    <w:p w:rsidR="00A95B10" w:rsidRPr="00A71B4C" w:rsidRDefault="00A95B10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A95B10">
      <w:pPr>
        <w:pStyle w:val="Ttulo2"/>
      </w:pPr>
      <w:bookmarkStart w:id="34" w:name="_Toc104883707"/>
      <w:r w:rsidRPr="00A71B4C">
        <w:t xml:space="preserve">ARTÍCULO </w:t>
      </w:r>
      <w:r w:rsidR="00A95B10" w:rsidRPr="00A71B4C">
        <w:t>N.º</w:t>
      </w:r>
      <w:r w:rsidRPr="00A71B4C">
        <w:t xml:space="preserve"> 33: LUGAR Y FORMA DE PRESENTACIÓN DE LAS FACTURAS.</w:t>
      </w:r>
      <w:bookmarkEnd w:id="34"/>
    </w:p>
    <w:p w:rsidR="00D04D8D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Se hará de acuerdo a lo indicado en el Pliego de Condiciones Particulares y Especificaciones Técnicas.</w:t>
      </w:r>
    </w:p>
    <w:p w:rsidR="007B1B10" w:rsidRPr="00A71B4C" w:rsidRDefault="007B1B10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A95B10">
      <w:pPr>
        <w:pStyle w:val="Ttulo2"/>
      </w:pPr>
      <w:bookmarkStart w:id="35" w:name="_Toc104883708"/>
      <w:r w:rsidRPr="00A71B4C">
        <w:t xml:space="preserve">ARTÍCULO </w:t>
      </w:r>
      <w:r w:rsidR="00A95B10" w:rsidRPr="00A71B4C">
        <w:t>N.º</w:t>
      </w:r>
      <w:r w:rsidRPr="00A71B4C">
        <w:t xml:space="preserve"> 34: ORDEN DE PRELACIÓN.</w:t>
      </w:r>
      <w:bookmarkEnd w:id="35"/>
    </w:p>
    <w:p w:rsidR="00D04D8D" w:rsidRPr="00A71B4C" w:rsidRDefault="00D04D8D" w:rsidP="00A95B1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Pliego de Condiciones Generales y Pliego de Condiciones Particulares y Especificaciones Técnicas.</w:t>
      </w:r>
    </w:p>
    <w:p w:rsidR="00D04D8D" w:rsidRPr="00A71B4C" w:rsidRDefault="00D04D8D" w:rsidP="00A95B1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 adjudicación.</w:t>
      </w:r>
    </w:p>
    <w:p w:rsidR="00D04D8D" w:rsidRPr="00A71B4C" w:rsidRDefault="00D04D8D" w:rsidP="00A95B1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 Orden de Compra.</w:t>
      </w:r>
    </w:p>
    <w:p w:rsidR="00D04D8D" w:rsidRPr="00A71B4C" w:rsidRDefault="00D04D8D" w:rsidP="00A95B10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Firma del contrato en caso de corresponder.</w:t>
      </w:r>
    </w:p>
    <w:p w:rsidR="00A95B10" w:rsidRPr="00A71B4C" w:rsidRDefault="00A95B10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A95B10">
      <w:pPr>
        <w:pStyle w:val="Ttulo2"/>
      </w:pPr>
      <w:bookmarkStart w:id="36" w:name="_Toc104883709"/>
      <w:r w:rsidRPr="00A71B4C">
        <w:t xml:space="preserve">ARTÍCULO </w:t>
      </w:r>
      <w:r w:rsidR="00A95B10" w:rsidRPr="00A71B4C">
        <w:t>N.º</w:t>
      </w:r>
      <w:r w:rsidRPr="00A71B4C">
        <w:t xml:space="preserve"> 35: MORA EN EL CUMPLIMIENTO.</w:t>
      </w:r>
      <w:bookmarkEnd w:id="36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Las prórrogas en el cumplimiento del plazo contractual determinarán en todos los casos la aplicación de una multa por mora, que será del tres por ciento (3%) del valor del contrato por cada siete (7) días hábiles de atraso o fracción mayor de tres (3) días hábiles.</w:t>
      </w:r>
    </w:p>
    <w:p w:rsidR="00A95B10" w:rsidRPr="00A71B4C" w:rsidRDefault="00A95B10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A95B10">
      <w:pPr>
        <w:pStyle w:val="Ttulo2"/>
      </w:pPr>
      <w:bookmarkStart w:id="37" w:name="_Toc104883710"/>
      <w:r w:rsidRPr="00A71B4C">
        <w:t xml:space="preserve">ARTÍCULO </w:t>
      </w:r>
      <w:r w:rsidR="00A95B10" w:rsidRPr="00A71B4C">
        <w:t>N.º</w:t>
      </w:r>
      <w:r w:rsidRPr="00A71B4C">
        <w:t xml:space="preserve"> 36: PENALIDADES.</w:t>
      </w:r>
      <w:bookmarkEnd w:id="37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Vencido el plazo del cumplimiento del contrato o de su prorroga sin que los bienes fueran entregados de conformidad, se declarará rescindido el contrato sin necesidad </w:t>
      </w:r>
      <w:r w:rsidRPr="00A71B4C">
        <w:rPr>
          <w:rFonts w:ascii="Arial" w:hAnsi="Arial" w:cs="Arial"/>
        </w:rPr>
        <w:lastRenderedPageBreak/>
        <w:t xml:space="preserve">de interpelación judicial o extrajudicial con pérdida de la de la garantía de cumplimiento del contrato, sin perjuicio de ser responsable el adjudicatario por los daños y perjuicios que sufriere </w:t>
      </w:r>
      <w:r w:rsidR="000550EC">
        <w:rPr>
          <w:rFonts w:ascii="Arial" w:hAnsi="Arial" w:cs="Arial"/>
        </w:rPr>
        <w:t>la institución</w:t>
      </w:r>
      <w:r w:rsidRPr="00A71B4C">
        <w:rPr>
          <w:rFonts w:ascii="Arial" w:hAnsi="Arial" w:cs="Arial"/>
        </w:rPr>
        <w:t xml:space="preserve"> con motivo de verse necesitado de la celebración de un nuevo contrato.</w:t>
      </w:r>
    </w:p>
    <w:p w:rsidR="00A95B10" w:rsidRPr="00A71B4C" w:rsidRDefault="00A95B10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A95B10">
      <w:pPr>
        <w:pStyle w:val="Ttulo2"/>
      </w:pPr>
      <w:bookmarkStart w:id="38" w:name="_Toc104883711"/>
      <w:r w:rsidRPr="00A71B4C">
        <w:t xml:space="preserve">ARTÍCULO </w:t>
      </w:r>
      <w:r w:rsidR="00A95B10" w:rsidRPr="00A71B4C">
        <w:t>N.º</w:t>
      </w:r>
      <w:r w:rsidRPr="00A71B4C">
        <w:t xml:space="preserve"> 37: AUMENTO O DISMINUCIÓN DE LA PRESTACIÓN.</w:t>
      </w:r>
      <w:bookmarkEnd w:id="38"/>
    </w:p>
    <w:p w:rsidR="00A95B10" w:rsidRPr="00A71B4C" w:rsidRDefault="000550EC" w:rsidP="00D04D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institución</w:t>
      </w:r>
      <w:r w:rsidR="00D04D8D" w:rsidRPr="00A71B4C">
        <w:rPr>
          <w:rFonts w:ascii="Arial" w:hAnsi="Arial" w:cs="Arial"/>
        </w:rPr>
        <w:t xml:space="preserve"> tendrá derecho a aumentar el total adjudicado hasta un veinte por ciento (20%) o disminuirlo en un diez por ciento (10%) de su valor original en las condiciones y precios pactados y con adecuación de los plazos respectivos. El aumento o disminución podrá incidir sobre uno o varios renglones de la orden de compra, siempre y cuando el total resultante no exceda los porcentajes previstos según corresponda.</w:t>
      </w:r>
    </w:p>
    <w:p w:rsidR="00A95B10" w:rsidRPr="00A71B4C" w:rsidRDefault="00A95B10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A95B10">
      <w:pPr>
        <w:pStyle w:val="Ttulo2"/>
      </w:pPr>
      <w:bookmarkStart w:id="39" w:name="_Toc104883712"/>
      <w:r w:rsidRPr="00A71B4C">
        <w:t xml:space="preserve">ARTÍCULO </w:t>
      </w:r>
      <w:r w:rsidR="00A95B10" w:rsidRPr="00A71B4C">
        <w:t>N.º</w:t>
      </w:r>
      <w:r w:rsidRPr="00A71B4C">
        <w:t xml:space="preserve"> 38: CASO FORTUITO O FUERZA MAYOR.</w:t>
      </w:r>
      <w:bookmarkEnd w:id="39"/>
    </w:p>
    <w:p w:rsidR="00D04D8D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Las penalidades no serán aplicadas cuando el incumplimiento de la obligación provenga de caso fortuito o fuerza mayor debidamente documentado por el interesado.</w:t>
      </w:r>
    </w:p>
    <w:p w:rsidR="00A95B10" w:rsidRPr="00A71B4C" w:rsidRDefault="00A95B10" w:rsidP="00D04D8D">
      <w:pPr>
        <w:spacing w:line="360" w:lineRule="auto"/>
        <w:jc w:val="both"/>
        <w:rPr>
          <w:rFonts w:ascii="Arial" w:hAnsi="Arial" w:cs="Arial"/>
        </w:rPr>
      </w:pPr>
    </w:p>
    <w:p w:rsidR="00D04D8D" w:rsidRPr="00A71B4C" w:rsidRDefault="00D04D8D" w:rsidP="00A95B10">
      <w:pPr>
        <w:pStyle w:val="Ttulo2"/>
      </w:pPr>
      <w:bookmarkStart w:id="40" w:name="_Toc104883713"/>
      <w:r w:rsidRPr="00A71B4C">
        <w:t xml:space="preserve">ARTÍCULO </w:t>
      </w:r>
      <w:r w:rsidR="00A95B10" w:rsidRPr="00A71B4C">
        <w:t>N.º</w:t>
      </w:r>
      <w:r w:rsidRPr="00A71B4C">
        <w:t xml:space="preserve"> 39: RESCISIÓN.</w:t>
      </w:r>
      <w:bookmarkEnd w:id="40"/>
    </w:p>
    <w:p w:rsidR="00D04D8D" w:rsidRPr="00A71B4C" w:rsidRDefault="000550EC" w:rsidP="00D04D8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institución</w:t>
      </w:r>
      <w:r w:rsidR="00D04D8D" w:rsidRPr="00A71B4C">
        <w:rPr>
          <w:rFonts w:ascii="Arial" w:hAnsi="Arial" w:cs="Arial"/>
        </w:rPr>
        <w:t xml:space="preserve"> contratante tendrá la facultad de proceder a la rescisión unilateral del contrato por culpa del adjudicatario, sin que a éste le corresponda indemnización alguna, en los siguientes casos:</w:t>
      </w:r>
    </w:p>
    <w:p w:rsidR="00D04D8D" w:rsidRPr="00A71B4C" w:rsidRDefault="00D04D8D" w:rsidP="00A95B1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Quiebra o concurso preventivo de la empresa. En este último caso, cuando la situación jurídica de la misma impida el cumplimiento de las prestaciones.</w:t>
      </w:r>
    </w:p>
    <w:p w:rsidR="00D04D8D" w:rsidRPr="00A71B4C" w:rsidRDefault="00D04D8D" w:rsidP="00A95B1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Cuando el adjudicatario sea culpable de fraude o negligencia, o incumpla las obligaciones y condiciones estipuladas en el contrato.</w:t>
      </w:r>
    </w:p>
    <w:p w:rsidR="00D04D8D" w:rsidRPr="00A71B4C" w:rsidRDefault="00D04D8D" w:rsidP="00A95B1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Cuando en la oferta se hubiera incurrido en inexactitudes que determinaron la adjudicación.</w:t>
      </w:r>
    </w:p>
    <w:p w:rsidR="00D04D8D" w:rsidRPr="00A71B4C" w:rsidRDefault="00D04D8D" w:rsidP="00A95B10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 xml:space="preserve">Cuando exista transferencia de todo o parte del contrato, sin que la misma haya sido autorizada previamente por </w:t>
      </w:r>
      <w:r w:rsidR="000550EC">
        <w:rPr>
          <w:rFonts w:ascii="Arial" w:hAnsi="Arial" w:cs="Arial"/>
        </w:rPr>
        <w:t>la institución</w:t>
      </w:r>
      <w:r w:rsidRPr="00A71B4C">
        <w:rPr>
          <w:rFonts w:ascii="Arial" w:hAnsi="Arial" w:cs="Arial"/>
        </w:rPr>
        <w:t xml:space="preserve"> contratante.</w:t>
      </w:r>
    </w:p>
    <w:p w:rsidR="00DD0922" w:rsidRPr="00A71B4C" w:rsidRDefault="00D04D8D" w:rsidP="00D04D8D">
      <w:pPr>
        <w:spacing w:line="360" w:lineRule="auto"/>
        <w:jc w:val="both"/>
        <w:rPr>
          <w:rFonts w:ascii="Arial" w:hAnsi="Arial" w:cs="Arial"/>
        </w:rPr>
      </w:pPr>
      <w:r w:rsidRPr="00A71B4C">
        <w:rPr>
          <w:rFonts w:ascii="Arial" w:hAnsi="Arial" w:cs="Arial"/>
        </w:rPr>
        <w:t>La rescisión operada, conforme con lo establecido en el presente artículo, acarreara la perdida de la garantía de cumplimiento de contrato.</w:t>
      </w:r>
    </w:p>
    <w:sectPr w:rsidR="00DD0922" w:rsidRPr="00A71B4C" w:rsidSect="00E246A0">
      <w:headerReference w:type="default" r:id="rId8"/>
      <w:footerReference w:type="default" r:id="rId9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F95" w:rsidRDefault="00342F95" w:rsidP="00671ECA">
      <w:pPr>
        <w:spacing w:after="0" w:line="240" w:lineRule="auto"/>
      </w:pPr>
      <w:r>
        <w:separator/>
      </w:r>
    </w:p>
  </w:endnote>
  <w:endnote w:type="continuationSeparator" w:id="1">
    <w:p w:rsidR="00342F95" w:rsidRDefault="00342F95" w:rsidP="0067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006563"/>
      <w:docPartObj>
        <w:docPartGallery w:val="Page Numbers (Bottom of Page)"/>
        <w:docPartUnique/>
      </w:docPartObj>
    </w:sdtPr>
    <w:sdtContent>
      <w:p w:rsidR="007223A4" w:rsidRDefault="00392BDB">
        <w:pPr>
          <w:pStyle w:val="Piedepgina"/>
          <w:jc w:val="right"/>
        </w:pPr>
        <w:r>
          <w:fldChar w:fldCharType="begin"/>
        </w:r>
        <w:r w:rsidR="007223A4">
          <w:instrText>PAGE   \* MERGEFORMAT</w:instrText>
        </w:r>
        <w:r>
          <w:fldChar w:fldCharType="separate"/>
        </w:r>
        <w:r w:rsidR="008E2468">
          <w:rPr>
            <w:noProof/>
          </w:rPr>
          <w:t>1</w:t>
        </w:r>
        <w:r>
          <w:fldChar w:fldCharType="end"/>
        </w:r>
      </w:p>
    </w:sdtContent>
  </w:sdt>
  <w:p w:rsidR="007223A4" w:rsidRDefault="007223A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F95" w:rsidRDefault="00342F95" w:rsidP="00671ECA">
      <w:pPr>
        <w:spacing w:after="0" w:line="240" w:lineRule="auto"/>
      </w:pPr>
      <w:r>
        <w:separator/>
      </w:r>
    </w:p>
  </w:footnote>
  <w:footnote w:type="continuationSeparator" w:id="1">
    <w:p w:rsidR="00342F95" w:rsidRDefault="00342F95" w:rsidP="0067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CA" w:rsidRDefault="00671ECA" w:rsidP="00671ECA">
    <w:pPr>
      <w:pStyle w:val="Encabezado"/>
      <w:jc w:val="center"/>
    </w:pPr>
  </w:p>
  <w:p w:rsidR="00671ECA" w:rsidRDefault="00671ECA" w:rsidP="00671ECA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3BF"/>
    <w:multiLevelType w:val="hybridMultilevel"/>
    <w:tmpl w:val="8194AB60"/>
    <w:lvl w:ilvl="0" w:tplc="C9FC69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4B1C"/>
    <w:multiLevelType w:val="hybridMultilevel"/>
    <w:tmpl w:val="F9F83B52"/>
    <w:lvl w:ilvl="0" w:tplc="0DC6B0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C58C1"/>
    <w:multiLevelType w:val="hybridMultilevel"/>
    <w:tmpl w:val="6BDA0A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7263B"/>
    <w:multiLevelType w:val="hybridMultilevel"/>
    <w:tmpl w:val="B968624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A0AAC"/>
    <w:multiLevelType w:val="hybridMultilevel"/>
    <w:tmpl w:val="10AE33C0"/>
    <w:lvl w:ilvl="0" w:tplc="C9FC69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A0CD7"/>
    <w:multiLevelType w:val="hybridMultilevel"/>
    <w:tmpl w:val="2C981602"/>
    <w:lvl w:ilvl="0" w:tplc="BB4265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A5EF9"/>
    <w:multiLevelType w:val="hybridMultilevel"/>
    <w:tmpl w:val="7D4C33C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14849"/>
    <w:multiLevelType w:val="hybridMultilevel"/>
    <w:tmpl w:val="1F243270"/>
    <w:lvl w:ilvl="0" w:tplc="28DE39D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D51C6"/>
    <w:multiLevelType w:val="hybridMultilevel"/>
    <w:tmpl w:val="B83C4D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F71A4"/>
    <w:multiLevelType w:val="hybridMultilevel"/>
    <w:tmpl w:val="EEE429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A4E81"/>
    <w:multiLevelType w:val="hybridMultilevel"/>
    <w:tmpl w:val="C38A3E16"/>
    <w:lvl w:ilvl="0" w:tplc="7A743A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31FC7"/>
    <w:multiLevelType w:val="hybridMultilevel"/>
    <w:tmpl w:val="DF04524C"/>
    <w:lvl w:ilvl="0" w:tplc="C9FC69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12E39"/>
    <w:multiLevelType w:val="hybridMultilevel"/>
    <w:tmpl w:val="F71806B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7CA2E90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52E0D"/>
    <w:multiLevelType w:val="hybridMultilevel"/>
    <w:tmpl w:val="C68A27C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9379C"/>
    <w:multiLevelType w:val="hybridMultilevel"/>
    <w:tmpl w:val="4168942C"/>
    <w:lvl w:ilvl="0" w:tplc="772A08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E5942"/>
    <w:multiLevelType w:val="hybridMultilevel"/>
    <w:tmpl w:val="59DCAA18"/>
    <w:lvl w:ilvl="0" w:tplc="C9FC69C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5"/>
  </w:num>
  <w:num w:numId="5">
    <w:abstractNumId w:val="3"/>
  </w:num>
  <w:num w:numId="6">
    <w:abstractNumId w:val="10"/>
  </w:num>
  <w:num w:numId="7">
    <w:abstractNumId w:val="13"/>
  </w:num>
  <w:num w:numId="8">
    <w:abstractNumId w:val="11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2"/>
  </w:num>
  <w:num w:numId="14">
    <w:abstractNumId w:val="14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D0922"/>
    <w:rsid w:val="00010521"/>
    <w:rsid w:val="00047078"/>
    <w:rsid w:val="00047C0C"/>
    <w:rsid w:val="000550EC"/>
    <w:rsid w:val="000654A9"/>
    <w:rsid w:val="00067DE7"/>
    <w:rsid w:val="00073FC6"/>
    <w:rsid w:val="0007785B"/>
    <w:rsid w:val="00087262"/>
    <w:rsid w:val="00087350"/>
    <w:rsid w:val="00111C04"/>
    <w:rsid w:val="0011683C"/>
    <w:rsid w:val="001336AC"/>
    <w:rsid w:val="001A0C1D"/>
    <w:rsid w:val="001A68FF"/>
    <w:rsid w:val="001D6116"/>
    <w:rsid w:val="001E7158"/>
    <w:rsid w:val="00244A61"/>
    <w:rsid w:val="00252C5E"/>
    <w:rsid w:val="00285713"/>
    <w:rsid w:val="002A7185"/>
    <w:rsid w:val="002B0209"/>
    <w:rsid w:val="002B0CEE"/>
    <w:rsid w:val="002E36AD"/>
    <w:rsid w:val="002E73DE"/>
    <w:rsid w:val="002F3739"/>
    <w:rsid w:val="003044DE"/>
    <w:rsid w:val="00342F95"/>
    <w:rsid w:val="0034551A"/>
    <w:rsid w:val="00381A1E"/>
    <w:rsid w:val="00392BDB"/>
    <w:rsid w:val="003E68E0"/>
    <w:rsid w:val="00412DD7"/>
    <w:rsid w:val="00440E05"/>
    <w:rsid w:val="00454408"/>
    <w:rsid w:val="0048051B"/>
    <w:rsid w:val="00490F36"/>
    <w:rsid w:val="004A7171"/>
    <w:rsid w:val="004C4C97"/>
    <w:rsid w:val="004C6319"/>
    <w:rsid w:val="004E4C28"/>
    <w:rsid w:val="004F64B1"/>
    <w:rsid w:val="00501636"/>
    <w:rsid w:val="005029BF"/>
    <w:rsid w:val="0050373F"/>
    <w:rsid w:val="0050454C"/>
    <w:rsid w:val="00510D82"/>
    <w:rsid w:val="00510E21"/>
    <w:rsid w:val="00532416"/>
    <w:rsid w:val="005500A1"/>
    <w:rsid w:val="00591F3C"/>
    <w:rsid w:val="005974D1"/>
    <w:rsid w:val="005A2215"/>
    <w:rsid w:val="005B623C"/>
    <w:rsid w:val="005B76C5"/>
    <w:rsid w:val="005C119A"/>
    <w:rsid w:val="005D48AD"/>
    <w:rsid w:val="005F278E"/>
    <w:rsid w:val="005F7F9B"/>
    <w:rsid w:val="00600885"/>
    <w:rsid w:val="006108C2"/>
    <w:rsid w:val="00620270"/>
    <w:rsid w:val="00620E23"/>
    <w:rsid w:val="00626D3A"/>
    <w:rsid w:val="00630327"/>
    <w:rsid w:val="00663860"/>
    <w:rsid w:val="00671ECA"/>
    <w:rsid w:val="00682D36"/>
    <w:rsid w:val="006B3E94"/>
    <w:rsid w:val="006C1372"/>
    <w:rsid w:val="006C4510"/>
    <w:rsid w:val="00721C03"/>
    <w:rsid w:val="007223A4"/>
    <w:rsid w:val="00724E52"/>
    <w:rsid w:val="00726327"/>
    <w:rsid w:val="00741E69"/>
    <w:rsid w:val="00743CC5"/>
    <w:rsid w:val="007725DD"/>
    <w:rsid w:val="007815FC"/>
    <w:rsid w:val="007A7475"/>
    <w:rsid w:val="007B1B10"/>
    <w:rsid w:val="007B3613"/>
    <w:rsid w:val="007C67D3"/>
    <w:rsid w:val="007E5EBA"/>
    <w:rsid w:val="008106E5"/>
    <w:rsid w:val="00817C37"/>
    <w:rsid w:val="008217FE"/>
    <w:rsid w:val="00823164"/>
    <w:rsid w:val="00843C20"/>
    <w:rsid w:val="00844CBF"/>
    <w:rsid w:val="008544E9"/>
    <w:rsid w:val="008622B3"/>
    <w:rsid w:val="008723D4"/>
    <w:rsid w:val="008B59E2"/>
    <w:rsid w:val="008D0723"/>
    <w:rsid w:val="008D7DFB"/>
    <w:rsid w:val="008E2468"/>
    <w:rsid w:val="008E77AD"/>
    <w:rsid w:val="009200D7"/>
    <w:rsid w:val="00923C7A"/>
    <w:rsid w:val="00987D41"/>
    <w:rsid w:val="009A3E1F"/>
    <w:rsid w:val="009B6BAC"/>
    <w:rsid w:val="009C3FE1"/>
    <w:rsid w:val="009E05C4"/>
    <w:rsid w:val="009F03F8"/>
    <w:rsid w:val="009F6BCB"/>
    <w:rsid w:val="00A010BF"/>
    <w:rsid w:val="00A577DE"/>
    <w:rsid w:val="00A71B4C"/>
    <w:rsid w:val="00A810C2"/>
    <w:rsid w:val="00A82E79"/>
    <w:rsid w:val="00A842AF"/>
    <w:rsid w:val="00A95B10"/>
    <w:rsid w:val="00A96367"/>
    <w:rsid w:val="00A97456"/>
    <w:rsid w:val="00B13DBB"/>
    <w:rsid w:val="00B17EF6"/>
    <w:rsid w:val="00B2200C"/>
    <w:rsid w:val="00B30866"/>
    <w:rsid w:val="00B571F2"/>
    <w:rsid w:val="00B704FB"/>
    <w:rsid w:val="00B7483A"/>
    <w:rsid w:val="00B75ADC"/>
    <w:rsid w:val="00B92A6E"/>
    <w:rsid w:val="00BB7DD7"/>
    <w:rsid w:val="00BD0CB4"/>
    <w:rsid w:val="00BD3178"/>
    <w:rsid w:val="00BD3A06"/>
    <w:rsid w:val="00BD5201"/>
    <w:rsid w:val="00BD679A"/>
    <w:rsid w:val="00C12957"/>
    <w:rsid w:val="00C46AC0"/>
    <w:rsid w:val="00C64BCB"/>
    <w:rsid w:val="00C87C96"/>
    <w:rsid w:val="00C96BB4"/>
    <w:rsid w:val="00CB37A6"/>
    <w:rsid w:val="00CD2A24"/>
    <w:rsid w:val="00D04D8D"/>
    <w:rsid w:val="00D20311"/>
    <w:rsid w:val="00D32730"/>
    <w:rsid w:val="00D37AC3"/>
    <w:rsid w:val="00D43231"/>
    <w:rsid w:val="00D73395"/>
    <w:rsid w:val="00D802B4"/>
    <w:rsid w:val="00DA45D3"/>
    <w:rsid w:val="00DC212D"/>
    <w:rsid w:val="00DD0922"/>
    <w:rsid w:val="00DE5D2B"/>
    <w:rsid w:val="00DF6D43"/>
    <w:rsid w:val="00E17912"/>
    <w:rsid w:val="00E246A0"/>
    <w:rsid w:val="00E41B11"/>
    <w:rsid w:val="00E45638"/>
    <w:rsid w:val="00E50206"/>
    <w:rsid w:val="00E76BB8"/>
    <w:rsid w:val="00E851B7"/>
    <w:rsid w:val="00EA345D"/>
    <w:rsid w:val="00EA6054"/>
    <w:rsid w:val="00EB3663"/>
    <w:rsid w:val="00F14390"/>
    <w:rsid w:val="00F403E3"/>
    <w:rsid w:val="00F843F1"/>
    <w:rsid w:val="00F86413"/>
    <w:rsid w:val="00F97121"/>
    <w:rsid w:val="00FA1C48"/>
    <w:rsid w:val="00FA536C"/>
    <w:rsid w:val="00FD1B4B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FB"/>
  </w:style>
  <w:style w:type="paragraph" w:styleId="Ttulo1">
    <w:name w:val="heading 1"/>
    <w:basedOn w:val="Normal"/>
    <w:next w:val="Normal"/>
    <w:link w:val="Ttulo1Car"/>
    <w:uiPriority w:val="9"/>
    <w:qFormat/>
    <w:rsid w:val="00821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17FE"/>
    <w:pPr>
      <w:spacing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CA"/>
  </w:style>
  <w:style w:type="paragraph" w:styleId="Piedepgina">
    <w:name w:val="footer"/>
    <w:basedOn w:val="Normal"/>
    <w:link w:val="PiedepginaCar"/>
    <w:uiPriority w:val="99"/>
    <w:unhideWhenUsed/>
    <w:rsid w:val="00671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CA"/>
  </w:style>
  <w:style w:type="paragraph" w:styleId="Textodeglobo">
    <w:name w:val="Balloon Text"/>
    <w:basedOn w:val="Normal"/>
    <w:link w:val="TextodegloboCar"/>
    <w:uiPriority w:val="99"/>
    <w:semiHidden/>
    <w:unhideWhenUsed/>
    <w:rsid w:val="0067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E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E5EB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217FE"/>
    <w:rPr>
      <w:rFonts w:ascii="Arial" w:hAnsi="Arial" w:cs="Arial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217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8217FE"/>
    <w:pPr>
      <w:spacing w:line="259" w:lineRule="auto"/>
      <w:outlineLvl w:val="9"/>
    </w:pPr>
    <w:rPr>
      <w:lang w:val="es-AR"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8217FE"/>
    <w:pPr>
      <w:spacing w:after="100"/>
      <w:ind w:left="22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6386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571F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B37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37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37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37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37A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B1B10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02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EMBRETE%20CCT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12840-D2A1-44A8-AD0A-753ACDA2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CCT 2021</Template>
  <TotalTime>300</TotalTime>
  <Pages>14</Pages>
  <Words>3440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Saini</dc:creator>
  <cp:lastModifiedBy>Conicet</cp:lastModifiedBy>
  <cp:revision>26</cp:revision>
  <dcterms:created xsi:type="dcterms:W3CDTF">2023-12-27T13:57:00Z</dcterms:created>
  <dcterms:modified xsi:type="dcterms:W3CDTF">2024-02-16T14:35:00Z</dcterms:modified>
</cp:coreProperties>
</file>